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color w:val="000000"/>
          <w:sz w:val="24"/>
        </w:rPr>
      </w:pPr>
      <w:r>
        <w:rPr>
          <w:color w:val="000000"/>
          <w:sz w:val="24"/>
        </w:rPr>
        <w:t>Arkusz asortymentowo - cenowy</w:t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W w:w="4800" w:type="pct"/>
        <w:jc w:val="left"/>
        <w:tblInd w:w="-243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563"/>
        <w:gridCol w:w="3790"/>
        <w:gridCol w:w="1124"/>
        <w:gridCol w:w="999"/>
        <w:gridCol w:w="1186"/>
        <w:gridCol w:w="906"/>
        <w:gridCol w:w="1544"/>
        <w:gridCol w:w="1173"/>
        <w:gridCol w:w="1180"/>
        <w:gridCol w:w="1720"/>
      </w:tblGrid>
      <w:tr>
        <w:trPr>
          <w:trHeight w:val="1334" w:hRule="exact"/>
        </w:trPr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Lp.</w:t>
            </w:r>
          </w:p>
        </w:tc>
        <w:tc>
          <w:tcPr>
            <w:tcW w:w="3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ind w:left="101"/>
              <w:jc w:val="center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>
              <w:rPr>
                <w:color w:val="000000"/>
                <w:spacing w:val="8"/>
                <w:sz w:val="24"/>
              </w:rPr>
              <w:t xml:space="preserve">Nazwa </w:t>
            </w:r>
          </w:p>
          <w:p>
            <w:pPr>
              <w:pStyle w:val="Normal"/>
              <w:shd w:val="clear" w:color="auto" w:fill="FFFFFF"/>
              <w:jc w:val="center"/>
              <w:rPr>
                <w:sz w:val="24"/>
              </w:rPr>
            </w:pPr>
            <w:r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  <w:t>Nr katalog.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  <w:t>Producent</w:t>
            </w: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  <w:t>Ilość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  <w:t>Cena jednostkowa</w:t>
            </w:r>
          </w:p>
          <w:p>
            <w:pPr>
              <w:pStyle w:val="Normal"/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>
              <w:rPr>
                <w:sz w:val="24"/>
              </w:rPr>
              <w:t>netto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jc w:val="center"/>
              <w:rPr>
                <w:sz w:val="24"/>
              </w:rPr>
            </w:pPr>
            <w:r>
              <w:rPr>
                <w:sz w:val="24"/>
              </w:rPr>
              <w:t>Wartość netto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ind w:left="-43"/>
              <w:jc w:val="center"/>
              <w:rPr>
                <w:sz w:val="24"/>
              </w:rPr>
            </w:pPr>
            <w:r>
              <w:rPr>
                <w:sz w:val="24"/>
              </w:rPr>
              <w:t>Podatek VAT i % podatku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ind w:left="-35"/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</w:tr>
      <w:tr>
        <w:trPr>
          <w:trHeight w:val="276" w:hRule="atLeast"/>
        </w:trPr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3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Wózek transportowy z funkcją stołu zabiegowego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 szt.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</w:tbl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  <w:t>Wartość brutto słownie: ………………………………………</w:t>
      </w:r>
      <w:r>
        <w:br w:type="page"/>
      </w:r>
    </w:p>
    <w:p>
      <w:pPr>
        <w:pStyle w:val="Normal"/>
        <w:spacing w:before="0" w:after="0"/>
        <w:rPr/>
      </w:pPr>
      <w:r>
        <w:rPr/>
      </w:r>
    </w:p>
    <w:tbl>
      <w:tblPr>
        <w:tblW w:w="14812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4390"/>
        <w:gridCol w:w="10421"/>
      </w:tblGrid>
      <w:tr>
        <w:trPr/>
        <w:tc>
          <w:tcPr>
            <w:tcW w:w="1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spacing w:before="360" w:after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WÓZEK TRANSPORTOWY Z FUNKCJĄ STOŁU ZABIEGOWEGO – 2 SZTUKI</w:t>
            </w:r>
          </w:p>
        </w:tc>
      </w:tr>
      <w:tr>
        <w:trPr/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urządzenia:</w:t>
            </w:r>
          </w:p>
          <w:p>
            <w:pPr>
              <w:pStyle w:val="Body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>
            <w:pPr>
              <w:pStyle w:val="Body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Kraj produkcji:</w:t>
            </w:r>
          </w:p>
        </w:tc>
        <w:tc>
          <w:tcPr>
            <w:tcW w:w="10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rPr>
          <w:szCs w:val="18"/>
          <w:u w:val="single"/>
        </w:rPr>
      </w:pPr>
      <w:r>
        <w:rPr>
          <w:szCs w:val="18"/>
          <w:u w:val="single"/>
        </w:rPr>
      </w:r>
    </w:p>
    <w:p>
      <w:pPr>
        <w:pStyle w:val="Normal"/>
        <w:rPr>
          <w:szCs w:val="18"/>
          <w:u w:val="single"/>
        </w:rPr>
      </w:pPr>
      <w:r>
        <w:rPr>
          <w:szCs w:val="18"/>
          <w:u w:val="single"/>
        </w:rPr>
      </w:r>
    </w:p>
    <w:tbl>
      <w:tblPr>
        <w:tblW w:w="1483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606"/>
        <w:gridCol w:w="5398"/>
        <w:gridCol w:w="1440"/>
        <w:gridCol w:w="4246"/>
        <w:gridCol w:w="1700"/>
        <w:gridCol w:w="1439"/>
      </w:tblGrid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6"/>
              <w:spacing w:before="40" w:after="0"/>
              <w:rPr>
                <w:szCs w:val="18"/>
              </w:rPr>
            </w:pPr>
            <w:r>
              <w:rPr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Punktacja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spacing w:before="160" w:after="8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Ocena Komisji </w:t>
            </w:r>
          </w:p>
          <w:p>
            <w:pPr>
              <w:pStyle w:val="Heading2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spełnia / </w:t>
            </w:r>
          </w:p>
          <w:p>
            <w:pPr>
              <w:pStyle w:val="Heading2"/>
              <w:spacing w:before="160" w:after="8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nie spełnia</w:t>
            </w:r>
          </w:p>
        </w:tc>
      </w:tr>
      <w:tr>
        <w:trPr>
          <w:cantSplit w:val="true"/>
        </w:trPr>
        <w:tc>
          <w:tcPr>
            <w:tcW w:w="14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numPr>
                <w:ilvl w:val="0"/>
                <w:numId w:val="1"/>
              </w:numPr>
              <w:tabs>
                <w:tab w:val="clear" w:pos="708"/>
                <w:tab w:val="left" w:pos="720" w:leader="none"/>
              </w:tabs>
              <w:spacing w:before="160" w:after="80"/>
              <w:ind w:hanging="0" w:lef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Urządzenie fabrycznie nowe, niepochodzące z wystaw i niepoddawane procesom odnowienia (rekondycjonowaniu)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14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numPr>
                <w:ilvl w:val="0"/>
                <w:numId w:val="1"/>
              </w:numPr>
              <w:tabs>
                <w:tab w:val="clear" w:pos="708"/>
                <w:tab w:val="left" w:pos="720" w:leader="none"/>
              </w:tabs>
              <w:spacing w:before="160" w:after="80"/>
              <w:ind w:hanging="0" w:lef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TECHNICZNO-EKSPLOATACYJNE</w:t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Wózek transportowy z funkcją stołu zabiegowego, przeznaczony do transportu pacjentów w pozycji leżącej, wykonywania drobnych zabiegów oraz krótkotrwałego pobytu pacjenta (obserwacji)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Konstrukcja wózka oparta na 2 kolumnach podnośnikowych o gładkiej powierzchni, łatwej do mycia i dezynfekcji (bez osłon harmonijkowych)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Leże co najmniej 2-segmentowe, wypełnione płytami z tworzywa sztucznego i/lub płytami stalowymi lakierowanymi proszkowo, zmywalnymi i łatwymi do dezynfekcji, bez ostrych krawędzi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Podwozie zabudowane osłoną z tworzywa sztucznego, z miejscem do przechowywania rzeczy pacjenta lub dodatkowego sprzętu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Uchwyt lub wyprofilowane miejsce do przewożenia butli tlenowej, zintegrowane z konstrukcją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Dopuszczalna masa pacjenta ≥ 280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Wymiary zewnętrzne: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długość całkowita ≤ 2200 [mm],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szerokość całkowita z podniesionymi barierkami ≤ 900 [mm].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Podać również szerokość całkowitą z opuszczonymi barierkami.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Wymiary leża (powierzchnia dla pacjenta):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długość ≥ 1900 [mm],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szerokość ≥ 660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Hydrauliczna regulacja wysokości leża za pomocą pedałów (dźwigni) nożnych dostępnych z obu stron wózka, w zakresie co najmniej: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pozycja najniższa ≤ 590 [mm],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pozycja najwyższa ≥ 855 [mm]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(mierzone od podłoża do górnej powierzchni leża bez materaca)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Pozycja najniższa ≤ 550 mm – 5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&gt; 550 mm – 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Pozycja Trendelenburga i anty-Trendelenburga regulowana hydraulicznie za pomocą pedałów (dźwigni) nożnych, w zakresie ≥ ±15°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 xml:space="preserve">≥ </w:t>
            </w:r>
            <w:r>
              <w:rPr>
                <w:szCs w:val="18"/>
              </w:rPr>
              <w:t>±17° – 5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&lt; ±17° – 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Segment pleców regulowany manualnie, ze wspomaganiem sprężyny gazowej, w zakresie min. 0°–85°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Regulacja segmentu nóg (uniesienie podudzi / podparcie kolan)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Segment siedziska (miednicy) automatycznie obniżany podczas unoszenia segmentu pleców, zapobiegający zsuwaniu się pacjenta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Elektryczny system napędowy fabrycznie zintegrowany z wózkiem przez jego wytwórcę i objęty deklaracją zgodności UE wytwórcy wózka. Nie dopuszcza się napędów doposażeniowych (modułów napędowych innych podmiotów montowanych do wózka).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System napędowy z napędzanym kołem jezdnym, umożliwiający transport wózka z pacjentem przez jedną osobę bez wysiłku fizycznego, z możliwością jazdy do przodu i do tyłu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Sterowanie napędem za pomocą elementów sterujących umieszczonych w uchwycie (uchwytach) do prowadzenia wózka. Zabezpieczenie przed przypadkowym uruchomieniem napędu – jazda możliwa wyłącznie przy przytrzymanym elemencie aktywującym; zwolnienie elementu aktywującego lub użycie wyłącznika bezpieczeństwa powoduje zatrzymanie jazdy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Blokada jazdy z napędem przy podłączeniu wózka do sieci zasilającej (np. podczas ładowania akumulatorów)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Zasilanie napędu z bezobsługowych akumulatorów wbudowanych w wózek. Ładowanie bezpośrednio z sieci 230 V AC za pomocą ładowarki zintegrowanej z wózkiem i przewodu zasilającego przechowywanego na wózku. Podać typ, liczbę i pojemność akumulatorów oraz czas pełnego ładowania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Czas pracy (zasięg) napędu na jednym pełnym ładowaniu akumulatora – wg danych wytwórcy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Wskaźnik poziomu naładowania akumulatora umieszczony w miejscu widocznym dla użytkownika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Wyłącznik (odłącznik) systemu napędowego umożliwiający całkowite odłączenie zasilania napędu, np. na czas dłuższego postoju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Stopień ochrony obudowy elementów elektrycznych systemu napędowego min. IPX4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Koła jezdne o średnicy ≥ 200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Centralny system hamulcowy blokujący jednocześnie wszystkie koła, obsługiwany dźwigniami (pedałami) nożnymi dostępnymi na obu końcach wózka (od strony głowy i nóg pacjenta)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Funkcja jazdy kierunkowej. Wyraźne oznaczenie kolorystyczne pozycji hamulca i jazdy kierunkowej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Barierki boczne opuszczane poniżej poziomu leża, umożliwiające boczny transfer pacjenta: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wysokość ≥ 35 [cm],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długość ≥ 135 [cm],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automatyczna blokada barierki w pozycji podniesionej,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- zwalnianie blokady z co najmniej jednego końca leża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Składane uchwyty do prowadzenia wózka od strony głowy pacjenta, umożliwiające swobodny dostęp do pacjenta (np. podczas resuscytacji)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Odbojniki (krążki lub listwy odbojowe) zabezpieczające wszystkie cztery naroża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Materac piankowy o grubości ≥ 80 [mm], w zmywalnym, nieprzemakalnym pokrowcu odpornym na środki dezynfekcyjne, zabezpieczony przed przesuwaniem się po leżu (np. rzepy, antypoślizgowa powłoka spodu pokrowca)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 xml:space="preserve">≥ </w:t>
            </w:r>
            <w:r>
              <w:rPr>
                <w:szCs w:val="18"/>
              </w:rPr>
              <w:t>120 mm – 5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&lt; 120 mm – 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Wyposażenie (dla każdego wózka):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1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ind w:hanging="0" w:left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Wieszak infuzyjny teleskopowy z regulacją wysokości, min. 2 haczyki – min.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1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ind w:hanging="0" w:left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Uchwyty (haczyki) na worki urologiczne po obu stronach leża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1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ind w:hanging="0" w:left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Uchwyt lub półka na dokumentację medyczną pacjenta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1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ind w:hanging="0" w:left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Pasy zabezpieczające pacjenta – 1 komplet (min. 2 pasy) wraz z mocowaniami do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14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numPr>
                <w:ilvl w:val="0"/>
                <w:numId w:val="1"/>
              </w:numPr>
              <w:tabs>
                <w:tab w:val="clear" w:pos="708"/>
                <w:tab w:val="left" w:pos="720" w:leader="none"/>
              </w:tabs>
              <w:spacing w:before="160" w:after="80"/>
              <w:ind w:hanging="0" w:lef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OGÓLNE WARUNKI SERWISU I GWARANCJI</w:t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 xml:space="preserve">Pełna gwarancja obejmująca wszystkie podzespoły sprzętu, w tym akumulatory systemu napędowego, w okresie ≥ </w:t>
            </w:r>
            <w:r>
              <w:rPr>
                <w:b/>
                <w:szCs w:val="18"/>
              </w:rPr>
              <w:t>24 miesięcy</w:t>
            </w:r>
            <w:r>
              <w:rPr>
                <w:szCs w:val="18"/>
              </w:rPr>
              <w:t xml:space="preserve">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24 m-ce  – 0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25 – 30 m-cy – 1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31 – 36 m-cy – 2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37 – 42 m-cy – 3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43 – 48 m-cy – 4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49 – 54 m-cy – 6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>55 – 60 m-cy – 8 pkt.</w:t>
            </w:r>
          </w:p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  <w:t xml:space="preserve">≥ </w:t>
            </w:r>
            <w:r>
              <w:rPr>
                <w:szCs w:val="18"/>
              </w:rPr>
              <w:t>61  m-cy    – 10 pkt.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Gwarantowany maksymalny czas naprawy – max. 5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Sprzęt zastępczy o parametrach nie gorszych niż sprzęt naprawiany, bez dodatkowych opłat, na cały okres naprawy – w przypadku braku możliwości naprawy w terminie do 5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Serwis gwarancyjny i pogwarancyjny na terenie Polski, autoryzowany przez wytwórcę. Podać adres, tel., e-mail.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Dołączyć wykaz wszystkich materiałów eksploatacyjnych dla oferowanych urządzeń (w tym akumulatorów systemu napędowego) wraz z ich kosztem jednostkowym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Paszport techniczny urządzenia dostarczony wraz z wózkiem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14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numPr>
                <w:ilvl w:val="0"/>
                <w:numId w:val="1"/>
              </w:numPr>
              <w:tabs>
                <w:tab w:val="clear" w:pos="708"/>
                <w:tab w:val="left" w:pos="720" w:leader="none"/>
              </w:tabs>
              <w:spacing w:before="160" w:after="80"/>
              <w:ind w:hanging="0" w:lef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SZKOLENIA</w:t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Przeszkolenie personelu medycznego i technicznego w zakresie obsługi i konserwacji w miejscu użytkowania sprzętu.</w:t>
            </w:r>
          </w:p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  <w:tr>
        <w:trPr>
          <w:cantSplit w:val="true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Podpis2"/>
              <w:numPr>
                <w:ilvl w:val="0"/>
                <w:numId w:val="2"/>
              </w:numPr>
              <w:tabs>
                <w:tab w:val="clear" w:pos="708"/>
                <w:tab w:val="left" w:pos="343" w:leader="none"/>
              </w:tabs>
              <w:snapToGrid w:val="false"/>
              <w:spacing w:before="0" w:after="0"/>
              <w:jc w:val="center"/>
              <w:rPr>
                <w:rFonts w:cs="Arial"/>
                <w:i w:val="false"/>
                <w:i w:val="false"/>
                <w:szCs w:val="18"/>
              </w:rPr>
            </w:pPr>
            <w:r>
              <w:rPr>
                <w:rFonts w:cs="Arial"/>
                <w:i w:val="false"/>
                <w:szCs w:val="18"/>
              </w:rPr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Cs w:val="18"/>
              </w:rPr>
            </w:pPr>
            <w:r>
              <w:rPr>
                <w:szCs w:val="18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Cs w:val="18"/>
              </w:rPr>
            </w:pPr>
            <w:r>
              <w:rPr>
                <w:szCs w:val="1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Cs w:val="18"/>
              </w:rPr>
            </w:pPr>
            <w:r>
              <w:rPr>
                <w:szCs w:val="18"/>
              </w:rPr>
            </w:r>
          </w:p>
        </w:tc>
      </w:tr>
    </w:tbl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  <w:t>UWAGA:</w:t>
      </w:r>
    </w:p>
    <w:p>
      <w:pPr>
        <w:pStyle w:val="BodyText2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>
      <w:pPr>
        <w:pStyle w:val="BodyText2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>
      <w:pPr>
        <w:pStyle w:val="BodyText2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>
      <w:pPr>
        <w:pStyle w:val="BodyText2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>
      <w:pPr>
        <w:pStyle w:val="BodyText2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  <w:t>Oferty, które nie spełniają parametrów bezwzględnie wymaganych, zostaną odrzucone.</w:t>
      </w:r>
    </w:p>
    <w:p>
      <w:pPr>
        <w:pStyle w:val="BodyText2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Wykonawca zobowiązany jest do podania parametrów w jednostkach wskazanych w niniejszej tabelce. </w:t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  <w:t>Przedmiotowe środki dowodowe potwierdzające parametry Wykonawca załącza do oferty na zasadach określonych w pkt 9.1.2 SWZ.</w:t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itp). </w:t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>
      <w:pPr>
        <w:pStyle w:val="BodyText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szCs w:val="18"/>
        </w:rPr>
      </w:pPr>
      <w:r>
        <w:rPr>
          <w:b/>
          <w:szCs w:val="1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8" w:right="641" w:gutter="0" w:header="142" w:top="851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swiss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6" wp14:anchorId="0096B8DC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" name="Pole tekstow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800" cy="146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</w:pPr>
                          <w:r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  <w:t>-</w:t>
                          </w:r>
                          <w:r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t>8</w:t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1" path="m0,0l-2147483645,0l-2147483645,-2147483646l0,-2147483646xe" fillcolor="white" stroked="f" o:allowincell="f" style="position:absolute;margin-left:726.7pt;margin-top:0.05pt;width:12.15pt;height:11.45pt;mso-wrap-style:square;v-text-anchor:top;mso-position-horizontal:right;mso-position-horizontal-relative:margin" wp14:anchorId="0096B8D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  <w:rFonts w:eastAsia="" w:eastAsiaTheme="majorEastAsia"/>
                        <w:sz w:val="20"/>
                      </w:rPr>
                    </w:pPr>
                    <w:r>
                      <w:rPr>
                        <w:rStyle w:val="PageNumber"/>
                        <w:rFonts w:eastAsia="" w:eastAsiaTheme="majorEastAsia"/>
                        <w:sz w:val="20"/>
                      </w:rPr>
                      <w:t>-</w:t>
                    </w:r>
                    <w:r>
                      <w:rPr>
                        <w:rStyle w:val="PageNumber"/>
                        <w:rFonts w:eastAsia="" w:eastAsiaTheme="majorEastAsia"/>
                        <w:sz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t>8</w:t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fldChar w:fldCharType="end"/>
                    </w:r>
                    <w:r>
                      <w:rPr>
                        <w:rStyle w:val="PageNumber"/>
                        <w:rFonts w:eastAsia=""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6" wp14:anchorId="0096B8DC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2" name="Pole tekstow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800" cy="146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</w:pPr>
                          <w:r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  <w:t>-</w:t>
                          </w:r>
                          <w:r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t>8</w:t>
                          </w:r>
                          <w:r>
                            <w:rPr>
                              <w:rStyle w:val="PageNumber"/>
                              <w:sz w:val="20"/>
                              <w:rFonts w:eastAsia="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rFonts w:eastAsia=""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1" path="m0,0l-2147483645,0l-2147483645,-2147483646l0,-2147483646xe" fillcolor="white" stroked="f" o:allowincell="f" style="position:absolute;margin-left:726.7pt;margin-top:0.05pt;width:12.15pt;height:11.45pt;mso-wrap-style:square;v-text-anchor:top;mso-position-horizontal:right;mso-position-horizontal-relative:margin" wp14:anchorId="0096B8D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  <w:rFonts w:eastAsia="" w:eastAsiaTheme="majorEastAsia"/>
                        <w:sz w:val="20"/>
                      </w:rPr>
                    </w:pPr>
                    <w:r>
                      <w:rPr>
                        <w:rStyle w:val="PageNumber"/>
                        <w:rFonts w:eastAsia="" w:eastAsiaTheme="majorEastAsia"/>
                        <w:sz w:val="20"/>
                      </w:rPr>
                      <w:t>-</w:t>
                    </w:r>
                    <w:r>
                      <w:rPr>
                        <w:rStyle w:val="PageNumber"/>
                        <w:rFonts w:eastAsia="" w:eastAsiaTheme="majorEastAsia"/>
                        <w:sz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t>8</w:t>
                    </w:r>
                    <w:r>
                      <w:rPr>
                        <w:rStyle w:val="PageNumber"/>
                        <w:sz w:val="20"/>
                        <w:rFonts w:eastAsia=""/>
                      </w:rPr>
                      <w:fldChar w:fldCharType="end"/>
                    </w:r>
                    <w:r>
                      <w:rPr>
                        <w:rStyle w:val="PageNumber"/>
                        <w:rFonts w:eastAsia=""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  <w:t>ZP/65/2026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>
    <w:pPr>
      <w:pStyle w:val="Header"/>
      <w:tabs>
        <w:tab w:val="clear" w:pos="4536"/>
        <w:tab w:val="clear" w:pos="9072"/>
        <w:tab w:val="right" w:pos="14760" w:leader="none"/>
      </w:tabs>
      <w:rPr>
        <w:lang w:eastAsia="en-US"/>
      </w:rPr>
    </w:pPr>
    <w:r>
      <w:rPr>
        <w:lang w:eastAsia="en-US"/>
      </w:rPr>
    </w:r>
  </w:p>
  <w:p>
    <w:pPr>
      <w:pStyle w:val="Header"/>
      <w:tabs>
        <w:tab w:val="clear" w:pos="4536"/>
        <w:tab w:val="clear" w:pos="9072"/>
        <w:tab w:val="right" w:pos="14760" w:leader="none"/>
      </w:tabs>
      <w:rPr>
        <w:lang w:eastAsia="en-US"/>
      </w:rPr>
    </w:pPr>
    <w:r>
      <w:rPr>
        <w:lang w:eastAsia="en-US"/>
      </w:rPr>
    </w:r>
  </w:p>
  <w:p>
    <w:pPr>
      <w:pStyle w:val="Header"/>
      <w:tabs>
        <w:tab w:val="clear" w:pos="4536"/>
        <w:tab w:val="clear" w:pos="9072"/>
        <w:tab w:val="right" w:pos="14760" w:leader="none"/>
      </w:tabs>
      <w:rPr/>
    </w:pPr>
    <w:r>
      <w:rPr>
        <w:lang w:eastAsia="en-US"/>
      </w:rPr>
      <w:t>Pakiet 3 – Wózek transportowy z funkcją stołu zabiegowego</w:t>
      <w:tab/>
      <w:t>Załącznik nr 1.3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  <w:t>ZP/65/2026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rPr>
        <w:lang w:eastAsia="en-US"/>
      </w:rPr>
    </w:pPr>
    <w:r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>
    <w:pPr>
      <w:pStyle w:val="Header"/>
      <w:tabs>
        <w:tab w:val="clear" w:pos="4536"/>
        <w:tab w:val="clear" w:pos="9072"/>
        <w:tab w:val="right" w:pos="14760" w:leader="none"/>
      </w:tabs>
      <w:rPr>
        <w:lang w:eastAsia="en-US"/>
      </w:rPr>
    </w:pPr>
    <w:r>
      <w:rPr>
        <w:lang w:eastAsia="en-US"/>
      </w:rPr>
    </w:r>
  </w:p>
  <w:p>
    <w:pPr>
      <w:pStyle w:val="Header"/>
      <w:tabs>
        <w:tab w:val="clear" w:pos="4536"/>
        <w:tab w:val="clear" w:pos="9072"/>
        <w:tab w:val="right" w:pos="14760" w:leader="none"/>
      </w:tabs>
      <w:rPr>
        <w:lang w:eastAsia="en-US"/>
      </w:rPr>
    </w:pPr>
    <w:r>
      <w:rPr>
        <w:lang w:eastAsia="en-US"/>
      </w:rPr>
    </w:r>
  </w:p>
  <w:p>
    <w:pPr>
      <w:pStyle w:val="Header"/>
      <w:tabs>
        <w:tab w:val="clear" w:pos="4536"/>
        <w:tab w:val="clear" w:pos="9072"/>
        <w:tab w:val="right" w:pos="14760" w:leader="none"/>
      </w:tabs>
      <w:rPr/>
    </w:pPr>
    <w:r>
      <w:rPr>
        <w:lang w:eastAsia="en-US"/>
      </w:rPr>
      <w:t>Pakiet 3 – Wózek transportowy z funkcją stołu zabiegowego</w:t>
      <w:tab/>
      <w:t>Załącznik nr 1.3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113" w:hanging="0"/>
      </w:pPr>
      <w:rPr/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2121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18"/>
      <w:szCs w:val="24"/>
      <w:lang w:eastAsia="zh-CN" w:val="pl-PL" w:bidi="ar-SA"/>
      <w14:ligatures w14:val="none"/>
    </w:rPr>
  </w:style>
  <w:style w:type="paragraph" w:styleId="Heading1">
    <w:name w:val="heading 1"/>
    <w:basedOn w:val="Normal"/>
    <w:next w:val="Normal"/>
    <w:link w:val="Nagwek1Znak"/>
    <w:uiPriority w:val="9"/>
    <w:qFormat/>
    <w:rsid w:val="00521214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521214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52121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52121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52121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unhideWhenUsed/>
    <w:qFormat/>
    <w:rsid w:val="0052121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52121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521214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521214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Heading1"/>
    <w:uiPriority w:val="9"/>
    <w:qFormat/>
    <w:rsid w:val="0052121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link w:val="Heading2"/>
    <w:uiPriority w:val="9"/>
    <w:semiHidden/>
    <w:qFormat/>
    <w:rsid w:val="0052121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link w:val="Heading3"/>
    <w:uiPriority w:val="9"/>
    <w:semiHidden/>
    <w:qFormat/>
    <w:rsid w:val="00521214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link w:val="Heading4"/>
    <w:uiPriority w:val="9"/>
    <w:semiHidden/>
    <w:qFormat/>
    <w:rsid w:val="00521214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link w:val="Heading5"/>
    <w:uiPriority w:val="9"/>
    <w:semiHidden/>
    <w:qFormat/>
    <w:rsid w:val="00521214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link w:val="Heading6"/>
    <w:uiPriority w:val="9"/>
    <w:semiHidden/>
    <w:qFormat/>
    <w:rsid w:val="00521214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link w:val="Heading7"/>
    <w:uiPriority w:val="9"/>
    <w:semiHidden/>
    <w:qFormat/>
    <w:rsid w:val="00521214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link w:val="Heading8"/>
    <w:uiPriority w:val="9"/>
    <w:semiHidden/>
    <w:qFormat/>
    <w:rsid w:val="00521214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link w:val="Heading9"/>
    <w:uiPriority w:val="9"/>
    <w:semiHidden/>
    <w:qFormat/>
    <w:rsid w:val="00521214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link w:val="Title"/>
    <w:uiPriority w:val="10"/>
    <w:qFormat/>
    <w:rsid w:val="0052121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Subtitle"/>
    <w:uiPriority w:val="11"/>
    <w:qFormat/>
    <w:rsid w:val="00521214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521214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521214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521214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521214"/>
    <w:rPr>
      <w:b/>
      <w:bCs/>
      <w:smallCaps/>
      <w:color w:themeColor="accent1" w:themeShade="bf" w:val="2F5496"/>
      <w:spacing w:val="5"/>
    </w:rPr>
  </w:style>
  <w:style w:type="character" w:styleId="PageNumber">
    <w:name w:val="page number"/>
    <w:basedOn w:val="DefaultParagraphFont"/>
    <w:rsid w:val="00521214"/>
    <w:rPr/>
  </w:style>
  <w:style w:type="character" w:styleId="TekstpodstawowyZnak" w:customStyle="1">
    <w:name w:val="Tekst podstawowy Znak"/>
    <w:basedOn w:val="DefaultParagraphFont"/>
    <w:qFormat/>
    <w:rsid w:val="00521214"/>
    <w:rPr>
      <w:rFonts w:ascii="Arial" w:hAnsi="Arial" w:eastAsia="Times New Roman" w:cs="Arial"/>
      <w:kern w:val="0"/>
      <w:sz w:val="28"/>
      <w:lang w:eastAsia="zh-CN"/>
      <w14:ligatures w14:val="none"/>
    </w:rPr>
  </w:style>
  <w:style w:type="character" w:styleId="StopkaZnak" w:customStyle="1">
    <w:name w:val="Stopka Znak"/>
    <w:basedOn w:val="DefaultParagraphFont"/>
    <w:link w:val="Footer"/>
    <w:qFormat/>
    <w:rsid w:val="00521214"/>
    <w:rPr>
      <w:rFonts w:ascii="Arial" w:hAnsi="Arial" w:eastAsia="Times New Roman" w:cs="Arial"/>
      <w:kern w:val="0"/>
      <w:sz w:val="18"/>
      <w:lang w:eastAsia="zh-CN"/>
      <w14:ligatures w14:val="none"/>
    </w:rPr>
  </w:style>
  <w:style w:type="character" w:styleId="NagwekZnak" w:customStyle="1">
    <w:name w:val="Nagłówek Znak"/>
    <w:basedOn w:val="DefaultParagraphFont"/>
    <w:link w:val="Header"/>
    <w:qFormat/>
    <w:rsid w:val="00521214"/>
    <w:rPr>
      <w:rFonts w:ascii="Arial" w:hAnsi="Arial" w:eastAsia="Times New Roman" w:cs="Arial"/>
      <w:kern w:val="0"/>
      <w:sz w:val="18"/>
      <w:lang w:eastAsia="zh-CN"/>
      <w14:ligatures w14:val="none"/>
    </w:rPr>
  </w:style>
  <w:style w:type="character" w:styleId="Tekstpodstawowy2Znak" w:customStyle="1">
    <w:name w:val="Tekst podstawowy 2 Znak"/>
    <w:basedOn w:val="DefaultParagraphFont"/>
    <w:link w:val="BodyText2"/>
    <w:qFormat/>
    <w:rsid w:val="00521214"/>
    <w:rPr>
      <w:rFonts w:ascii="Arial" w:hAnsi="Arial" w:eastAsia="Times New Roman" w:cs="Arial"/>
      <w:b/>
      <w:kern w:val="0"/>
      <w:sz w:val="22"/>
      <w:lang w:eastAsia="zh-CN"/>
      <w14:ligatures w14:val="non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link w:val="TekstpodstawowyZnak"/>
    <w:rsid w:val="00521214"/>
    <w:pPr/>
    <w:rPr>
      <w:sz w:val="28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Normal"/>
    <w:link w:val="TytuZnak"/>
    <w:uiPriority w:val="10"/>
    <w:qFormat/>
    <w:rsid w:val="00521214"/>
    <w:pPr>
      <w:spacing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521214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521214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521214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5212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StopkaZnak"/>
    <w:rsid w:val="0052121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Header">
    <w:name w:val="header"/>
    <w:basedOn w:val="Normal"/>
    <w:link w:val="NagwekZnak"/>
    <w:rsid w:val="0052121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link w:val="Tekstpodstawowy2Znak"/>
    <w:qFormat/>
    <w:rsid w:val="00521214"/>
    <w:pPr/>
    <w:rPr>
      <w:b/>
      <w:sz w:val="22"/>
    </w:rPr>
  </w:style>
  <w:style w:type="paragraph" w:styleId="Podpis2" w:customStyle="1">
    <w:name w:val="Podpis2"/>
    <w:basedOn w:val="Normal"/>
    <w:qFormat/>
    <w:rsid w:val="00521214"/>
    <w:pPr>
      <w:suppressLineNumbers/>
      <w:spacing w:before="120" w:after="120"/>
    </w:pPr>
    <w:rPr>
      <w:rFonts w:cs="Tahoma"/>
      <w:i/>
      <w:iCs/>
      <w:kern w:val="2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LibreOffice/25.2.3.2$Linux_X86_64 LibreOffice_project/520$Build-2</Application>
  <AppVersion>15.0000</AppVersion>
  <Pages>7</Pages>
  <Words>1744</Words>
  <Characters>10468</Characters>
  <CharactersWithSpaces>12188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2026-10-30T12:02:00Z</dcterms:created>
  <dc:creator>Urszula Sojka</dc:creator>
  <dc:description/>
  <dc:language>en-US</dc:language>
  <cp:lastModifiedBy>Urszula Sojka</cp:lastModifiedBy>
  <dcterms:modified xsi:type="dcterms:W3CDTF">2026-10-30T12:03:00Z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