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30E5A" w14:textId="77777777" w:rsidR="00311AD0" w:rsidRDefault="00311AD0" w:rsidP="00311AD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Kraków dnia: 29 września 2026 r. </w:t>
      </w:r>
    </w:p>
    <w:p w14:paraId="649A58FA" w14:textId="77777777" w:rsidR="00311AD0" w:rsidRDefault="00311AD0" w:rsidP="00311AD0">
      <w:pPr>
        <w:spacing w:after="240"/>
        <w:jc w:val="right"/>
        <w:rPr>
          <w:sz w:val="22"/>
          <w:szCs w:val="22"/>
        </w:rPr>
      </w:pPr>
    </w:p>
    <w:p w14:paraId="10545733" w14:textId="77777777" w:rsidR="00311AD0" w:rsidRDefault="00311AD0" w:rsidP="00311AD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Miejski Specjalistyczny </w:t>
      </w:r>
    </w:p>
    <w:p w14:paraId="0EA1F3FB" w14:textId="77777777" w:rsidR="00311AD0" w:rsidRDefault="00311AD0" w:rsidP="00311AD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im. Gabriela Narutowicza w Krakowie</w:t>
      </w:r>
    </w:p>
    <w:p w14:paraId="76199D5A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>ul. Prądnicka 35-37</w:t>
      </w:r>
    </w:p>
    <w:p w14:paraId="4FB6763D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>31-202 Kraków</w:t>
      </w:r>
    </w:p>
    <w:p w14:paraId="25E2D568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0A21C90E" w14:textId="77777777" w:rsidR="00311AD0" w:rsidRDefault="00311AD0" w:rsidP="00311AD0">
      <w:pPr>
        <w:tabs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14:paraId="4D2AE27F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013FF5C3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0DC3E23B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ECAA13E" w14:textId="77777777" w:rsidR="00311AD0" w:rsidRDefault="00311AD0" w:rsidP="00311AD0">
      <w:pPr>
        <w:tabs>
          <w:tab w:val="right" w:pos="9072"/>
        </w:tabs>
        <w:rPr>
          <w:sz w:val="22"/>
          <w:szCs w:val="22"/>
        </w:rPr>
      </w:pPr>
    </w:p>
    <w:p w14:paraId="2E988228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2BC60453" w14:textId="77777777" w:rsidR="00311AD0" w:rsidRDefault="00311AD0" w:rsidP="00311AD0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66A0A06E" w14:textId="77777777" w:rsidR="00311AD0" w:rsidRDefault="00311AD0" w:rsidP="00311AD0">
      <w:pPr>
        <w:keepNext/>
        <w:spacing w:before="240" w:after="480" w:line="276" w:lineRule="auto"/>
        <w:jc w:val="center"/>
        <w:outlineLvl w:val="0"/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t>WYJAŚNIENIA TREŚCI SWZ -1</w:t>
      </w:r>
    </w:p>
    <w:p w14:paraId="3B378DF7" w14:textId="77777777" w:rsidR="00311AD0" w:rsidRDefault="00311AD0" w:rsidP="00311AD0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Dotyczy: postępowania o udzielenie zamówienia publicznego, prowadzonego w trybie Tryb podstawowy bez negocjacji - art. 275 pkt. 1 ustawy Pzp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Zakup lampy  RTG oraz utrzymanie w pełnej sprawności techniczno-eksploatacyjnej tomografu komputerowego Philips </w:t>
      </w:r>
      <w:proofErr w:type="spellStart"/>
      <w:r>
        <w:rPr>
          <w:b/>
          <w:bCs/>
          <w:sz w:val="22"/>
          <w:szCs w:val="22"/>
        </w:rPr>
        <w:t>Ingenuity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Core</w:t>
      </w:r>
      <w:proofErr w:type="spellEnd"/>
      <w:r>
        <w:rPr>
          <w:b/>
          <w:bCs/>
          <w:sz w:val="22"/>
          <w:szCs w:val="22"/>
        </w:rPr>
        <w:t xml:space="preserve"> 128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ZP/58/2026.</w:t>
      </w:r>
    </w:p>
    <w:p w14:paraId="5D4E1166" w14:textId="77777777" w:rsidR="00311AD0" w:rsidRDefault="00311AD0" w:rsidP="00311AD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działając na podstawie art. 284 ust. 6 ustawy z dnia 11 września 2019 r. Prawo zamówień publicznych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1AD0" w14:paraId="191BE8EA" w14:textId="77777777">
        <w:tc>
          <w:tcPr>
            <w:tcW w:w="9356" w:type="dxa"/>
          </w:tcPr>
          <w:p w14:paraId="16FE59A3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Dot. Załącznik nr 4- Projekt umowy (§ 4 ust. 2) oraz SWZ</w:t>
            </w:r>
          </w:p>
          <w:p w14:paraId="36C1850D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Wnosimy o zmianę terminu dostawy i instalacji lampy z 3 na 7 dni, tak aby Wykonawca miał czas na sprowadzenie części zamiennej, instalację, odpowiednie kalibracje i testy.</w:t>
            </w:r>
          </w:p>
          <w:p w14:paraId="391A1E76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 na wydłużenie terminu z uwagi na bardzo pilny charakter sprawy. Tomograf jest wyłączony z użytku i każdy kolejny dzień przestoju generuje dodatkowe koszty dla Zamawiającego. Zamawiający wyjaśnia jednocześnie, że termin 3 dni roboczych, o którym mowa w § 4 ust. 2 projektu umowy oraz w pkt A.6 załącznika nr 1, biegnie od daty zawarcia umowy i obejmuje wyłącznie dni robocze w rozumieniu definicji zawartej w umowie.</w:t>
            </w:r>
          </w:p>
          <w:p w14:paraId="3A0F6D6F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</w:p>
          <w:p w14:paraId="7CE6099F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Dot. Załącznik nr 4- Projekt umowy</w:t>
            </w:r>
          </w:p>
          <w:p w14:paraId="200C11D9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Wnosimy o modyfikację zapisów § 4 ust. 6 wzoru umowy jak następuje:</w:t>
            </w:r>
          </w:p>
          <w:p w14:paraId="0A1579B1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zobowiązuje się zakończyć naprawę sprzętu terminie </w:t>
            </w:r>
            <w:r>
              <w:rPr>
                <w:b/>
                <w:bCs/>
                <w:sz w:val="22"/>
                <w:szCs w:val="22"/>
              </w:rPr>
              <w:t>3 dni roboczych</w:t>
            </w:r>
            <w:r>
              <w:rPr>
                <w:sz w:val="22"/>
                <w:szCs w:val="22"/>
              </w:rPr>
              <w:t xml:space="preserve"> od chwili zgłoszenia, o której mowa w ust. 5 powyżej.</w:t>
            </w:r>
          </w:p>
          <w:p w14:paraId="74EA3631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 Tomograf komputerowy stanowi strategiczne urządzenie dla Szpitala, każdy dzień przestoju generuje dodatkowe koszty. Dotychczasowe umowy na opiekę serwisową tomografu przez ostatnie 6 lat zapewniały naprawę w terminie 2 dni roboczych. Zamawiający nie znajduje powodu do obniżenia niniejszego wymogu.</w:t>
            </w:r>
          </w:p>
          <w:p w14:paraId="582DED29" w14:textId="77777777" w:rsidR="00311AD0" w:rsidRDefault="00311AD0">
            <w:pPr>
              <w:ind w:left="-9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</w:p>
          <w:p w14:paraId="74F0255E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Dot. Załącznik nr 4- Projekt umowy</w:t>
            </w:r>
          </w:p>
          <w:p w14:paraId="3BD6816F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Wnosimy o usunięcie § 7 ust.10.</w:t>
            </w:r>
          </w:p>
          <w:p w14:paraId="2F304396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nie może brać odpowiedzialności tak jak to jest opisane przez Zamawiającego. Wykonawca może tylko wziąć odpowiedzialność za należyte wykonanie usług serwisowych które są w zakresie umowy. Może zdarzyć się taka sytuacja, że inżynier serwisu naprawił urządzenie bądź zweryfikował jego sprawność na przeglądzie, wystawił raport z oznaczeniem, że aparat jest sprawny, a po jakimś czasie </w:t>
            </w:r>
            <w:r>
              <w:rPr>
                <w:sz w:val="22"/>
                <w:szCs w:val="22"/>
              </w:rPr>
              <w:lastRenderedPageBreak/>
              <w:t>aparat znowu może ulec awarii z całkiem innego powodu i doprowadzić do jakiegoś incydentu medycznego. Każdy taki przypadek trzeba traktować odrębnie i poddać szczegółowej analizie.</w:t>
            </w:r>
          </w:p>
          <w:p w14:paraId="699D972C" w14:textId="77777777" w:rsidR="00311AD0" w:rsidRDefault="00311AD0">
            <w:pPr>
              <w:ind w:left="-90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Odpowiedź: Zamawiający nie wyraża zgody na usunięcie § 7 ust. 10 projektu umowy. Zamawiający zmienia natomiast jego treść w ten sposób, że odpowiedzialność Wykonawcy zostaje powiązana z niewykonaniem lub nienależytym wykonaniem umowy przez Wykonawcę oraz ze związkiem przyczynowym między tym zachowaniem a szkodą; każdy przypadek podlega zatem odrębnej ocenie. </w:t>
            </w:r>
          </w:p>
          <w:p w14:paraId="5DBD7057" w14:textId="77777777" w:rsidR="00311AD0" w:rsidRDefault="00311AD0">
            <w:pPr>
              <w:ind w:left="-90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W związku z powyższym § 7 ust. 10 otrzymuje brzmienie: </w:t>
            </w:r>
            <w: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„Jeżeli osoba trzecia (pacjent albo członek personelu Zamawiającego) wystąpi wobec Zamawiającego z roszczeniem o naprawienie szkody powstałej w związku z użytkowaniem sprzętu, a szkoda ta jest następstwem niewykonania lub nienależytego wykonania umowy przez Wykonawcę, w szczególności nienależytej weryfikacji stanu technicznego sprzętu albo błędnego stwierdzenia jego sprawności, Wykonawca zwolni Zamawiającego z obowiązku świadczenia w zakresie, w jakim szkoda wynika z tych okoliczności (art. 392 Kodeksu cywilnego). Postanowienie nie obejmuje szkód powstałych z przyczyn, za które Wykonawca nie ponosi odpowiedzialności, w szczególności użytkowania sprzętu niezgodnie z instrukcją używania, ingerencji w sprzęt osób innych niż personel Wykonawcy albo niezgłoszenia awarii w trybie § 4 ust. 5.”</w:t>
            </w:r>
          </w:p>
          <w:p w14:paraId="478B8F06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</w:p>
          <w:p w14:paraId="4FFAB5B7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Dot. Załącznik nr 4- Projekt umowy</w:t>
            </w:r>
          </w:p>
          <w:p w14:paraId="601A13D5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Prosimy o potwierdzenie, że usługi serwisowe nie obejmują napraw wynikających z siły wyższej (np. zalanie, pożar) oraz uszkodzeń spowodowanych niewłaściwym użytkowaniem tj. niezgodnym z instrukcją obsługi urządzenia oraz napraw uszkodzeń mechanicznych spowodowanych przez personel Zamawiającego.</w:t>
            </w:r>
          </w:p>
          <w:p w14:paraId="6377B0DD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potwierdza; w zakresie siły wyższej znajduje zastosowanie § 12 ust. 6–8 projektu umowy.</w:t>
            </w:r>
          </w:p>
          <w:p w14:paraId="01C8EA00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</w:p>
          <w:p w14:paraId="13C5C211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Dot.  Załącznika nr 1 – Opis przedmiotu zamówienia, część B. Opieka serwisowa tomografu</w:t>
            </w:r>
          </w:p>
          <w:p w14:paraId="24B2C545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Wnosimy o to, aby Zamawiający zmienił zakres umowy serwisowej z pełnego na ograniczony tylko do wymiany zwykłych części zamiennych (bez lampy RTG). Zdaniem Wykonawcy z punktu widzenia ekonomicznego w przypadku wymiany lampy, prawdopodobieństwo jej wymiany w kolejnych 3 latach jest małe, przy okazji pozwoli Wykonawcy zmniejszyć wysokość oferty, co byłoby optymalnym dla Zamawiającego pod kątem ekonomicznym.</w:t>
            </w:r>
          </w:p>
          <w:p w14:paraId="7946B04B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modyfikuje zapis pkt. III.1 części B załącznika nr 1 na następujący: </w:t>
            </w:r>
          </w:p>
          <w:p w14:paraId="27E63159" w14:textId="77777777" w:rsidR="00311AD0" w:rsidRDefault="00311AD0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„Utrzymanie urządzenia w pełnej sprawności – nielimitowane usuwanie usterek, naprawy, kalibracje, dostawa części [umowa zapewnia dostarczenie wszystkich koniecznych części (w tym detektorów, </w:t>
            </w:r>
            <w:r>
              <w:rPr>
                <w:b/>
                <w:bCs/>
                <w:i/>
                <w:iCs/>
                <w:sz w:val="22"/>
                <w:szCs w:val="22"/>
              </w:rPr>
              <w:br/>
              <w:t xml:space="preserve">z wyłączeniem lampy RTG) i akcesoriów (m.in. materace, podpórki, pozycjonery) bez wyjątków do naprawy tomografu wraz z jego peryferiami tj. m.in. stacją technika,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gantry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>, stołem, generatorem].”</w:t>
            </w:r>
          </w:p>
          <w:p w14:paraId="44FFDFCD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</w:p>
          <w:p w14:paraId="2739855B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Jednocześnie Zamawiający modyfikuje zapis A.8 na następujący: </w:t>
            </w:r>
          </w:p>
          <w:p w14:paraId="64BDAB47" w14:textId="77777777" w:rsidR="00311AD0" w:rsidRDefault="00311AD0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„Wykonawca udziela na lampę RTG gwarancji na okres …….. miesięcy (Zamawiający wymaga min. 36 miesięcy), liczony od dnia podpisania protokołu zdawczo-odbiorczego, o którym mowa w pkt A.7. Gwarancja obejmuje utratę sprawności lampy niezależnie od przyczyny, w tym wyczerpanie jej zasobu (zużycie eksploatacyjne), bez rozliczenia proporcjonalnego (pro rata) i bez ograniczenia liczbą badań, przy czym Zamawiający wymaga limitu pracy lampy nie niższego niż 1 500 000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skanosekund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>. W ramach gwarancji Wykonawca, bez dodatkowego wynagrodzenia, dostarczy i zainstaluje fabrycznie nową lampę wolną od wad, zdemontuje lampę uszkodzoną, wykona kalibracje i regulacje oraz zapewni wykonanie testów odbiorczych (akceptacyjnych) i testów specjalistycznych przez akredytowane laboratorium. Wymiana lampy w ramach gwarancji nastąpi w terminie określonym w § 5 ust. 2 lit. c projektu umowy. Gwarancja na lampę wymienioną w ramach gwarancji trwa do upływu pierwotnego okresu gwarancji, nie krócej jednak niż 12 miesięcy od dnia wymiany.”</w:t>
            </w:r>
          </w:p>
          <w:p w14:paraId="5B60BDF9" w14:textId="77777777" w:rsidR="00311AD0" w:rsidRDefault="00311AD0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2964EAFA" w14:textId="77777777" w:rsidR="00311AD0" w:rsidRDefault="00311AD0">
            <w:pPr>
              <w:ind w:left="-9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Dodatkowo Zamawiający modyfikuje zapis §5 ust. 1 umowy na następujący:</w:t>
            </w:r>
          </w:p>
          <w:p w14:paraId="1F97336B" w14:textId="77777777" w:rsidR="00311AD0" w:rsidRDefault="00311AD0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„Wykonawca na części wymienione w ramach naprawy, o której mowa w §4 udziela </w:t>
            </w:r>
            <w:r>
              <w:rPr>
                <w:b/>
                <w:bCs/>
                <w:i/>
                <w:iCs/>
                <w:sz w:val="22"/>
                <w:szCs w:val="22"/>
              </w:rPr>
              <w:br/>
              <w:t xml:space="preserve">…... </w:t>
            </w:r>
            <w:r>
              <w:rPr>
                <w:rStyle w:val="Odwoanieprzypisudolnego"/>
                <w:b/>
                <w:bCs/>
                <w:i/>
                <w:iCs/>
                <w:sz w:val="22"/>
                <w:szCs w:val="22"/>
              </w:rPr>
              <w:footnoteReference w:id="1"/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- miesięcznej gwarancji, przy czym gwarancja na lampę RTG wynosi …. miesięcy. Zamawiający </w:t>
            </w: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wymaga minimum 36-miesięcznej gwarancji na lampę RTG. Gwarancja na lampę RTG obejmuje utratę sprawności lampy niezależnie od przyczyny, w tym wyczerpanie jej zasobu (zużycie eksploatacyjne), bez rozliczenia proporcjonalnego (pro rata), przy limicie pracy lampy nie niższym niż 1 500 000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skanosekund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>. W ramach gwarancji na lampę RTG Wykonawca, bez dodatkowego wynagrodzenia, dostarczy i zainstaluje fabrycznie nową lampę wolną od wad, zdemontuje lampę uszkodzoną, wykona kalibracje i regulacje oraz zapewni wykonanie testów odbiorczych (akceptacyjnych) i testów specjalistycznych przez akredytowane laboratorium. Wymiana lampy w ramach gwarancji nastąpi w terminie określonym w ust. 2 lit. c) niniejszego paragrafu. Gwarancja na lampę wymienioną w ramach gwarancji trwa do upływu pierwotnego okresu gwarancji, nie krócej jednak niż 12 miesięcy od dnia wymiany.”</w:t>
            </w:r>
          </w:p>
          <w:p w14:paraId="069C4500" w14:textId="77777777" w:rsidR="00311AD0" w:rsidRDefault="00311AD0">
            <w:pPr>
              <w:ind w:left="-9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340FBC29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</w:p>
          <w:p w14:paraId="5AB23C59" w14:textId="77777777" w:rsidR="00311AD0" w:rsidRDefault="00311AD0" w:rsidP="00311AD0">
            <w:pPr>
              <w:numPr>
                <w:ilvl w:val="0"/>
                <w:numId w:val="8"/>
              </w:numPr>
              <w:ind w:left="-90" w:firstLine="0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Dotyczy  Załącznika nr 1 – Opis przedmiotu zamówienia oraz  Załącznik nr 4- Projekt umowy</w:t>
            </w:r>
          </w:p>
          <w:p w14:paraId="02C1F8CE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Wnosimy o potwierdzenie, iż ilekroć Zamawiający pisze we wzorze umowy, czy opisie przedmiotu zamówienia o modyfikacjach i aktualizacjach, to chodzi o aktualizacje zalecane przez producenta w obrębie zakupionego oprogramowania, a nie aktualizacje/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upgrady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sprzedawane komercyjnie?</w:t>
            </w:r>
          </w:p>
          <w:p w14:paraId="66729B79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Odpowiedź: Zamawiający potwierdza.</w:t>
            </w:r>
          </w:p>
          <w:p w14:paraId="55C36A58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14:paraId="44D38657" w14:textId="77777777" w:rsidR="00311AD0" w:rsidRDefault="00311AD0" w:rsidP="00311AD0">
            <w:pPr>
              <w:numPr>
                <w:ilvl w:val="0"/>
                <w:numId w:val="8"/>
              </w:numPr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ar-SA"/>
              </w:rPr>
              <w:t>Dotyczy Załącznik nr 1- Opis przedmiotu zamówienia</w:t>
            </w:r>
          </w:p>
          <w:p w14:paraId="01D57F51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Wnosimy o odstąpienie od wymogu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upgradu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systemu operacyjnego. Aktualny system operacyjny tomografu jest systemem typu „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embeded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” Windows, stworzony na potrzeby tomografu Philips, odpowiednio przetestowany i dopuszczony do użytkowania.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Cyberbezpieczeństwo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jest przedmiotem troski producenta przez cały okres życia systemu do dnia jego końca „życia” serwisowego.</w:t>
            </w:r>
          </w:p>
          <w:p w14:paraId="7681F361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Wykonawca nie ma tak po prostu możliwości zainstalowania nowej wersji systemu operacyjnego, jeśli nie zaleci tego producent, co przy aktualnych zapisach sprawia, iż Wykonawca nie może złożyć ważnej oferty w postepowaniu.</w:t>
            </w:r>
          </w:p>
          <w:p w14:paraId="7262CFD7" w14:textId="77777777" w:rsidR="00311AD0" w:rsidRDefault="00311AD0">
            <w:pPr>
              <w:autoSpaceDE w:val="0"/>
              <w:autoSpaceDN w:val="0"/>
              <w:adjustRightInd w:val="0"/>
              <w:ind w:left="-90"/>
              <w:contextualSpacing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Wykonywanie jakichkolwiek 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upgradów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i modyfikacji niezaleconych przez producenta prowadzi do utraty znaku CE na urządzeniu medycznym.</w:t>
            </w:r>
          </w:p>
          <w:p w14:paraId="53CC68C2" w14:textId="77777777" w:rsidR="00311AD0" w:rsidRDefault="00311AD0">
            <w:pPr>
              <w:ind w:left="-109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Wykonawca odpowiada za tomograf jako całość. System operacyjny stacji technika również winien być objęty aktualizacjami. Jednakże wszelkie aktualizacje muszą być zatwierdzone i zalecane przez producenta urządzenia. Zamawiający nie wymaga od Wykonawcy żadnych działań, które mogłyby prowadzić do utraty znaku CE.</w:t>
            </w:r>
          </w:p>
          <w:p w14:paraId="63DBCBD7" w14:textId="77777777" w:rsidR="00311AD0" w:rsidRDefault="00311AD0">
            <w:pPr>
              <w:ind w:left="-109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Mając na uwadze powyższe Zamawiający modyfikuje zapis IV.2 części B załącznika nr 1 na następujący:</w:t>
            </w:r>
          </w:p>
          <w:p w14:paraId="0227F07E" w14:textId="5987C978" w:rsidR="00311AD0" w:rsidRDefault="00311AD0">
            <w:pPr>
              <w:ind w:left="-109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„Wykonywanie zalecanych i zatwierdzonych przez producenta aktualizacji oprogramowania </w:t>
            </w:r>
            <w:r>
              <w:rPr>
                <w:b/>
                <w:bCs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>i systemu operacyjnego.”</w:t>
            </w:r>
          </w:p>
          <w:p w14:paraId="5141CF24" w14:textId="77777777" w:rsidR="00311AD0" w:rsidRDefault="00311AD0">
            <w:pPr>
              <w:ind w:left="-109"/>
              <w:jc w:val="both"/>
              <w:rPr>
                <w:b/>
                <w:bCs/>
                <w:sz w:val="22"/>
                <w:szCs w:val="22"/>
              </w:rPr>
            </w:pPr>
          </w:p>
          <w:p w14:paraId="64B468DA" w14:textId="77777777" w:rsidR="00311AD0" w:rsidRDefault="00311AD0">
            <w:pPr>
              <w:ind w:left="-90"/>
              <w:jc w:val="both"/>
              <w:rPr>
                <w:sz w:val="22"/>
                <w:szCs w:val="22"/>
              </w:rPr>
            </w:pPr>
          </w:p>
          <w:p w14:paraId="78275CB1" w14:textId="77777777" w:rsidR="00311AD0" w:rsidRDefault="00311A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C3212A" w14:textId="77777777" w:rsidR="00311AD0" w:rsidRDefault="00311AD0" w:rsidP="00311AD0">
      <w:pPr>
        <w:spacing w:before="240" w:after="120"/>
        <w:ind w:left="-1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Zmiany do projektu umowy wprowadzone z inicjatywy Zamawiającego (art. 286 ust. 1 ustawy Pzp)</w:t>
      </w:r>
    </w:p>
    <w:p w14:paraId="7EDC1F05" w14:textId="77777777" w:rsidR="00311AD0" w:rsidRDefault="00311AD0" w:rsidP="00311AD0">
      <w:pPr>
        <w:spacing w:after="120"/>
        <w:ind w:left="-109"/>
        <w:jc w:val="both"/>
        <w:rPr>
          <w:sz w:val="22"/>
          <w:szCs w:val="22"/>
        </w:rPr>
      </w:pPr>
      <w:r>
        <w:rPr>
          <w:sz w:val="22"/>
          <w:szCs w:val="22"/>
        </w:rPr>
        <w:t>Niezależnie od odpowiedzi na pytania Wykonawcy, Zamawiający – działając na podstawie art. 286 ust. 1 ustawy Pzp – wprowadza następujące zmiany w treści Załącznika nr 4 – Projekt umowy. Zmiany mają charakter porządkowo-redakcyjny oraz korygujący i pozostają korzystne dla Wykonawców; w ocenie Zamawiającego nie są to zmiany istotne w rozumieniu art. 286 ust. 3 ustawy Pzp wymagające przedłużenia terminu składania ofert.</w:t>
      </w:r>
    </w:p>
    <w:p w14:paraId="5D9F100E" w14:textId="77777777" w:rsidR="00311AD0" w:rsidRDefault="00311AD0" w:rsidP="00311AD0">
      <w:pPr>
        <w:spacing w:after="60"/>
        <w:ind w:left="-1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1) § 12 ust. 6 projektu umowy</w:t>
      </w:r>
      <w:r>
        <w:rPr>
          <w:sz w:val="22"/>
          <w:szCs w:val="22"/>
        </w:rPr>
        <w:t xml:space="preserve"> – katalog siły wyższej. Zamawiający porządkuje katalog zdarzeń stanowiących siłę wyższą, usuwając powtórzenie („epidemie" i „pandemie") oraz uzupełniając katalog o powszechnie przyjmowane w orzecznictwie i doktrynie zdarzenia. § 12 ust. 6 otrzymuje brzmienie:</w:t>
      </w:r>
    </w:p>
    <w:p w14:paraId="3A37D210" w14:textId="77777777" w:rsidR="00311AD0" w:rsidRDefault="00311AD0" w:rsidP="00311AD0">
      <w:pPr>
        <w:spacing w:after="120"/>
        <w:ind w:left="-10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„Strony zgodnie postanawiają, że nie są odpowiedzialne za skutki wynikające z działania siły wyższej, przez którą rozumie się nadzwyczajne zdarzenie zewnętrzne, niemożliwe do przewidzenia i którego skutkom nie można było zapobiec, w szczególności: pożar, powódź, epidemię, pandemię, klęski </w:t>
      </w:r>
      <w:r>
        <w:rPr>
          <w:i/>
          <w:iCs/>
          <w:sz w:val="22"/>
          <w:szCs w:val="22"/>
        </w:rPr>
        <w:lastRenderedPageBreak/>
        <w:t>żywiołowe, atak terrorystyczny, konflikt zbrojny oraz akty władzy publicznej uniemożliwiające wykonanie umowy."</w:t>
      </w:r>
    </w:p>
    <w:p w14:paraId="0A8275A6" w14:textId="77777777" w:rsidR="00311AD0" w:rsidRDefault="00311AD0" w:rsidP="00311AD0">
      <w:pPr>
        <w:spacing w:after="60"/>
        <w:ind w:left="-1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2) § 13 pkt e) projektu umowy</w:t>
      </w:r>
      <w:r>
        <w:rPr>
          <w:sz w:val="22"/>
          <w:szCs w:val="22"/>
        </w:rPr>
        <w:t xml:space="preserve"> – podstawa limitu waloryzacji wynagrodzenia. Waloryzacja z art. 439 ustawy Pzp dotyczy wyłącznie usług serwisowych świadczonych w czasie; wynagrodzenie za dostawę i instalację lampy RTG (§ 2a umowy) jest wynagrodzeniem jednorazowym rozliczanym w czterech ratach do 150. dnia od zawarcia umowy i nie podlega waloryzacji. § 13 pkt e) otrzymuje brzmienie:</w:t>
      </w:r>
    </w:p>
    <w:p w14:paraId="49E81FDF" w14:textId="77777777" w:rsidR="00311AD0" w:rsidRDefault="00311AD0" w:rsidP="00311AD0">
      <w:pPr>
        <w:spacing w:after="120"/>
        <w:ind w:left="-10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„maksymalna wartość zmiany wynagrodzenia Wykonawcy, jaką dopuszcza Zamawiający w efekcie zastosowania niniejszych postanowień, wynosi 5% maksymalnego wynagrodzenia brutto Wykonawcy za usługi serwisowe, o którym mowa w § 2 ust. 2 niniejszej umowy;"</w:t>
      </w:r>
    </w:p>
    <w:p w14:paraId="691B7B30" w14:textId="77777777" w:rsidR="00311AD0" w:rsidRDefault="00311AD0" w:rsidP="00311AD0">
      <w:pPr>
        <w:spacing w:after="60"/>
        <w:ind w:left="-1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3) § 16 ust. 3 projektu umowy</w:t>
      </w:r>
      <w:r>
        <w:rPr>
          <w:sz w:val="22"/>
          <w:szCs w:val="22"/>
        </w:rPr>
        <w:t xml:space="preserve"> – sprostowanie omyłki pisarskiej w odesłaniu do załącznika. Projekt umowy nie posiada załącznika nr 4A; umowa powierzenia przetwarzania danych osobowych stanowi załącznik nr 2 wskazany w wykazie załączników w § 1 umowy. § 16 ust. 3 otrzymuje brzmienie:</w:t>
      </w:r>
    </w:p>
    <w:p w14:paraId="5E51BDB9" w14:textId="77777777" w:rsidR="00311AD0" w:rsidRDefault="00311AD0" w:rsidP="00311AD0">
      <w:pPr>
        <w:spacing w:after="120"/>
        <w:ind w:left="-10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„Strony określają szczegółowe zasady powierzenia przetwarzania danych osobowych w odrębnej umowie, stanowiącej załącznik nr 2 do niniejszej umowy."</w:t>
      </w:r>
    </w:p>
    <w:p w14:paraId="00E84185" w14:textId="77777777" w:rsidR="00311AD0" w:rsidRDefault="00311AD0" w:rsidP="00311AD0">
      <w:pPr>
        <w:spacing w:after="60"/>
        <w:ind w:left="-1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4) § 20 ust. 2 projektu umowy</w:t>
      </w:r>
      <w:r>
        <w:rPr>
          <w:sz w:val="22"/>
          <w:szCs w:val="22"/>
        </w:rPr>
        <w:t xml:space="preserve"> – sprostowanie omyłki pisarskiej w oznaczeniu osoby uczestniczącej w wizji miejsca wypadku. § 20 ust. 2 otrzymuje brzmienie:</w:t>
      </w:r>
    </w:p>
    <w:p w14:paraId="69264097" w14:textId="77777777" w:rsidR="00311AD0" w:rsidRDefault="00311AD0" w:rsidP="00311AD0">
      <w:pPr>
        <w:spacing w:after="120"/>
        <w:ind w:left="-10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„Wykonawca zobowiązuje się zapewnić udział przedstawiciela Zamawiającego, w tym pracownika służby BHP Zamawiającego, w oględzinach miejsca wypadku. W przypadku nieobecności pracowników służb BHP w dniu wypadku, w wizji zdarzenia powinna uczestniczyć ze strony Zamawiającego osoba odpowiedzialna za realizację umowy, o której mowa w § 8 ust. 1 niniejszej umowy."</w:t>
      </w:r>
    </w:p>
    <w:p w14:paraId="7B88C050" w14:textId="77777777" w:rsidR="00311AD0" w:rsidRDefault="00311AD0" w:rsidP="00311AD0">
      <w:pPr>
        <w:spacing w:after="120"/>
        <w:ind w:left="-109"/>
        <w:jc w:val="both"/>
        <w:rPr>
          <w:sz w:val="22"/>
          <w:szCs w:val="22"/>
        </w:rPr>
      </w:pPr>
    </w:p>
    <w:p w14:paraId="4846B21A" w14:textId="77777777" w:rsidR="00311AD0" w:rsidRDefault="00311AD0" w:rsidP="00311AD0">
      <w:pPr>
        <w:spacing w:after="120"/>
        <w:ind w:left="-109"/>
        <w:jc w:val="both"/>
        <w:rPr>
          <w:sz w:val="22"/>
          <w:szCs w:val="22"/>
        </w:rPr>
      </w:pPr>
      <w:r>
        <w:rPr>
          <w:sz w:val="22"/>
          <w:szCs w:val="22"/>
        </w:rPr>
        <w:t>Pozostałe postanowienia SWZ oraz Załącznika nr 4 – Projekt umowy pozostają bez zmian. Zmodyfikowana treść załączników zostanie udostępniona wraz z niniejszymi wyjaśnieniami na stronie prowadzonego postępowania.</w:t>
      </w:r>
    </w:p>
    <w:p w14:paraId="5B2B5ECB" w14:textId="77777777" w:rsidR="00311AD0" w:rsidRDefault="00311AD0" w:rsidP="00311AD0">
      <w:pPr>
        <w:ind w:left="-109"/>
        <w:jc w:val="both"/>
        <w:rPr>
          <w:sz w:val="22"/>
          <w:szCs w:val="22"/>
        </w:rPr>
      </w:pPr>
    </w:p>
    <w:p w14:paraId="29E0794C" w14:textId="77777777" w:rsidR="00311AD0" w:rsidRDefault="00311AD0" w:rsidP="00311AD0">
      <w:pPr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239A3380" w14:textId="77777777" w:rsidR="00311AD0" w:rsidRDefault="00311AD0" w:rsidP="00311AD0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Piotr Nowakowski</w:t>
      </w:r>
    </w:p>
    <w:p w14:paraId="6DB675A3" w14:textId="77777777" w:rsidR="00311AD0" w:rsidRDefault="00311AD0" w:rsidP="00311AD0">
      <w:pPr>
        <w:rPr>
          <w:sz w:val="22"/>
          <w:szCs w:val="22"/>
        </w:rPr>
      </w:pPr>
    </w:p>
    <w:p w14:paraId="317D0210" w14:textId="4DF8D08D" w:rsidR="006D4AB3" w:rsidRPr="00173EE6" w:rsidRDefault="006D4AB3" w:rsidP="00173EE6">
      <w:pPr>
        <w:rPr>
          <w:sz w:val="22"/>
          <w:szCs w:val="22"/>
        </w:rPr>
      </w:pPr>
    </w:p>
    <w:sectPr w:rsidR="006D4AB3" w:rsidRPr="00173EE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07E01" w14:textId="77777777" w:rsidR="001021E9" w:rsidRDefault="001021E9">
      <w:r>
        <w:separator/>
      </w:r>
    </w:p>
  </w:endnote>
  <w:endnote w:type="continuationSeparator" w:id="0">
    <w:p w14:paraId="7154827D" w14:textId="77777777" w:rsidR="001021E9" w:rsidRDefault="0010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99D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2BF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EDD3D" w14:textId="044004CF" w:rsidR="006D4AB3" w:rsidRDefault="006D4AB3">
    <w:pPr>
      <w:pStyle w:val="Stopka"/>
      <w:tabs>
        <w:tab w:val="clear" w:pos="4536"/>
      </w:tabs>
      <w:jc w:val="center"/>
    </w:pPr>
  </w:p>
  <w:p w14:paraId="4ACA5F0D" w14:textId="0E89BA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53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D94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48E8D4" w14:textId="77777777" w:rsidR="006D4AB3" w:rsidRDefault="006D4AB3">
    <w:pPr>
      <w:pStyle w:val="Stopka"/>
      <w:tabs>
        <w:tab w:val="clear" w:pos="4536"/>
        <w:tab w:val="left" w:pos="6237"/>
      </w:tabs>
    </w:pPr>
  </w:p>
  <w:p w14:paraId="0718D4B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D1B3" w14:textId="77777777" w:rsidR="001021E9" w:rsidRDefault="001021E9">
      <w:r>
        <w:separator/>
      </w:r>
    </w:p>
  </w:footnote>
  <w:footnote w:type="continuationSeparator" w:id="0">
    <w:p w14:paraId="7716F4E3" w14:textId="77777777" w:rsidR="001021E9" w:rsidRDefault="001021E9">
      <w:r>
        <w:continuationSeparator/>
      </w:r>
    </w:p>
  </w:footnote>
  <w:footnote w:id="1">
    <w:p w14:paraId="0BCBDAA4" w14:textId="77777777" w:rsidR="00311AD0" w:rsidRDefault="00311AD0" w:rsidP="00311AD0">
      <w:pPr>
        <w:pStyle w:val="Tekstprzypisudolnego"/>
      </w:pPr>
      <w:r>
        <w:rPr>
          <w:rStyle w:val="Odwoanieprzypisudolnego"/>
          <w:sz w:val="14"/>
          <w:szCs w:val="14"/>
        </w:rPr>
        <w:footnoteRef/>
      </w:r>
      <w:r>
        <w:rPr>
          <w:sz w:val="14"/>
          <w:szCs w:val="14"/>
        </w:rPr>
        <w:t xml:space="preserve"> Umowa zostanie wypełniona zgodnie z ofertą Wykonawcy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A75"/>
    <w:multiLevelType w:val="hybridMultilevel"/>
    <w:tmpl w:val="4C3C044C"/>
    <w:lvl w:ilvl="0" w:tplc="70C22074">
      <w:start w:val="1"/>
      <w:numFmt w:val="decimal"/>
      <w:lvlText w:val="%1."/>
      <w:lvlJc w:val="left"/>
      <w:pPr>
        <w:ind w:left="270" w:hanging="360"/>
      </w:p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4404778">
    <w:abstractNumId w:val="4"/>
  </w:num>
  <w:num w:numId="2" w16cid:durableId="823660987">
    <w:abstractNumId w:val="7"/>
  </w:num>
  <w:num w:numId="3" w16cid:durableId="1634943602">
    <w:abstractNumId w:val="3"/>
  </w:num>
  <w:num w:numId="4" w16cid:durableId="1520580377">
    <w:abstractNumId w:val="6"/>
  </w:num>
  <w:num w:numId="5" w16cid:durableId="2011366399">
    <w:abstractNumId w:val="1"/>
  </w:num>
  <w:num w:numId="6" w16cid:durableId="2040277644">
    <w:abstractNumId w:val="2"/>
  </w:num>
  <w:num w:numId="7" w16cid:durableId="1796362677">
    <w:abstractNumId w:val="5"/>
  </w:num>
  <w:num w:numId="8" w16cid:durableId="1839346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1E9"/>
    <w:rsid w:val="00031374"/>
    <w:rsid w:val="000A1097"/>
    <w:rsid w:val="000E2A8F"/>
    <w:rsid w:val="001021E9"/>
    <w:rsid w:val="0012774F"/>
    <w:rsid w:val="001420A9"/>
    <w:rsid w:val="00144B7A"/>
    <w:rsid w:val="00173EE6"/>
    <w:rsid w:val="00180C6E"/>
    <w:rsid w:val="001E1588"/>
    <w:rsid w:val="0029606A"/>
    <w:rsid w:val="002C587C"/>
    <w:rsid w:val="00311AD0"/>
    <w:rsid w:val="004708C8"/>
    <w:rsid w:val="004848F3"/>
    <w:rsid w:val="004A75F2"/>
    <w:rsid w:val="005144A9"/>
    <w:rsid w:val="00520165"/>
    <w:rsid w:val="0053157A"/>
    <w:rsid w:val="005B1B08"/>
    <w:rsid w:val="00632C3C"/>
    <w:rsid w:val="00662BDB"/>
    <w:rsid w:val="006A5DF1"/>
    <w:rsid w:val="006B7198"/>
    <w:rsid w:val="006D4AB3"/>
    <w:rsid w:val="006F3B81"/>
    <w:rsid w:val="007427BD"/>
    <w:rsid w:val="007A38E6"/>
    <w:rsid w:val="007D7198"/>
    <w:rsid w:val="0080116B"/>
    <w:rsid w:val="00864A4B"/>
    <w:rsid w:val="00870F9F"/>
    <w:rsid w:val="008804B6"/>
    <w:rsid w:val="00897AB0"/>
    <w:rsid w:val="008A3553"/>
    <w:rsid w:val="009C6A43"/>
    <w:rsid w:val="00A905AC"/>
    <w:rsid w:val="00BA6584"/>
    <w:rsid w:val="00BE7BFD"/>
    <w:rsid w:val="00C370F2"/>
    <w:rsid w:val="00C44EEC"/>
    <w:rsid w:val="00CE5B3A"/>
    <w:rsid w:val="00D22FFA"/>
    <w:rsid w:val="00D45DE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454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73AFB"/>
  <w15:chartTrackingRefBased/>
  <w15:docId w15:val="{61B1E8D8-1C2C-410D-AC14-74D63B5A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AkapitzlistZnak">
    <w:name w:val="Akapit z listą Znak"/>
    <w:aliases w:val="Akapit z listą - Normalny - wypunktowanie Znak,L1 Znak,Numerowanie Znak,Podsis rysunku Znak,maz_wyliczenie Znak,opis dzialania Znak,K-P_odwolanie Znak,A_wyliczenie Znak,Akapit z listą5 Znak,Bullet Number Znak,Body MS Bullet Znak"/>
    <w:link w:val="Akapitzlist"/>
    <w:uiPriority w:val="34"/>
    <w:qFormat/>
    <w:locked/>
    <w:rsid w:val="00D45DE3"/>
    <w:rPr>
      <w:rFonts w:eastAsia="Calibri"/>
      <w:sz w:val="24"/>
      <w:szCs w:val="24"/>
      <w:lang w:eastAsia="ar-SA"/>
    </w:rPr>
  </w:style>
  <w:style w:type="paragraph" w:styleId="Akapitzlist">
    <w:name w:val="List Paragraph"/>
    <w:aliases w:val="Akapit z listą - Normalny - wypunktowanie,L1,Numerowanie,Podsis rysunku,maz_wyliczenie,opis dzialania,K-P_odwolanie,A_wyliczenie,Akapit z listą5,Bullet Number,Body MS Bullet,lp1,List Paragraph1,List Paragraph2,Preambuła,Tytuły,Lista num,N"/>
    <w:basedOn w:val="Normalny"/>
    <w:link w:val="AkapitzlistZnak"/>
    <w:uiPriority w:val="34"/>
    <w:qFormat/>
    <w:rsid w:val="00D45DE3"/>
    <w:pPr>
      <w:spacing w:after="120"/>
      <w:ind w:left="720" w:hanging="357"/>
      <w:contextualSpacing/>
    </w:pPr>
    <w:rPr>
      <w:rFonts w:eastAsia="Calibri"/>
      <w:sz w:val="24"/>
      <w:szCs w:val="24"/>
      <w:lang w:eastAsia="ar-SA"/>
    </w:rPr>
  </w:style>
  <w:style w:type="paragraph" w:customStyle="1" w:styleId="Default">
    <w:name w:val="Default"/>
    <w:qFormat/>
    <w:rsid w:val="00D45DE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1AD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1AD0"/>
  </w:style>
  <w:style w:type="character" w:styleId="Odwoanieprzypisudolnego">
    <w:name w:val="footnote reference"/>
    <w:uiPriority w:val="99"/>
    <w:unhideWhenUsed/>
    <w:rsid w:val="00311A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1669</Words>
  <Characters>10624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Łukasz Grüner</cp:lastModifiedBy>
  <cp:revision>3</cp:revision>
  <cp:lastPrinted>2001-02-10T14:28:00Z</cp:lastPrinted>
  <dcterms:created xsi:type="dcterms:W3CDTF">2026-09-29T07:14:00Z</dcterms:created>
  <dcterms:modified xsi:type="dcterms:W3CDTF">2026-09-29T13:08:00Z</dcterms:modified>
</cp:coreProperties>
</file>