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B3D1E" w14:textId="77777777" w:rsidR="00687F8E" w:rsidRPr="00687F8E" w:rsidRDefault="00687F8E" w:rsidP="00687F8E">
      <w:pPr>
        <w:jc w:val="right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Kraków dnia: 2026-08-21</w:t>
      </w:r>
    </w:p>
    <w:p w14:paraId="12E451C9" w14:textId="77777777" w:rsidR="00687F8E" w:rsidRPr="00687F8E" w:rsidRDefault="00687F8E" w:rsidP="00687F8E">
      <w:pPr>
        <w:rPr>
          <w:rFonts w:ascii="Verdana" w:hAnsi="Verdana"/>
          <w:b/>
          <w:bCs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22541A" w14:textId="77777777" w:rsidR="00687F8E" w:rsidRPr="00687F8E" w:rsidRDefault="00687F8E" w:rsidP="00687F8E">
      <w:pPr>
        <w:rPr>
          <w:rFonts w:ascii="Verdana" w:hAnsi="Verdana"/>
          <w:b/>
          <w:bCs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0144BF" w14:textId="77777777" w:rsidR="00687F8E" w:rsidRPr="00687F8E" w:rsidRDefault="00687F8E" w:rsidP="00687F8E">
      <w:pPr>
        <w:rPr>
          <w:rFonts w:ascii="Verdana" w:hAnsi="Verdana"/>
          <w:b/>
          <w:bCs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7B726B5" w14:textId="77777777" w:rsidR="00687F8E" w:rsidRPr="00687F8E" w:rsidRDefault="00687F8E" w:rsidP="00687F8E">
      <w:pPr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Al. Mickiewicza 30</w:t>
      </w:r>
    </w:p>
    <w:p w14:paraId="5854C6FE" w14:textId="77777777" w:rsidR="00687F8E" w:rsidRPr="00687F8E" w:rsidRDefault="00687F8E" w:rsidP="00687F8E">
      <w:pPr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30-059 Kraków</w:t>
      </w:r>
    </w:p>
    <w:p w14:paraId="4762E4ED" w14:textId="77777777" w:rsidR="00687F8E" w:rsidRPr="00687F8E" w:rsidRDefault="00687F8E" w:rsidP="00687F8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Pismo:</w:t>
      </w:r>
      <w:r w:rsidRPr="00687F8E">
        <w:rPr>
          <w:rFonts w:ascii="Verdana" w:hAnsi="Verdana"/>
          <w:b/>
          <w:bCs/>
          <w:sz w:val="18"/>
          <w:szCs w:val="18"/>
        </w:rPr>
        <w:t xml:space="preserve"> </w:t>
      </w:r>
      <w:r w:rsidRPr="00687F8E">
        <w:rPr>
          <w:rFonts w:ascii="Verdana" w:hAnsi="Verdana"/>
          <w:bCs/>
          <w:sz w:val="18"/>
          <w:szCs w:val="18"/>
        </w:rPr>
        <w:t>KC-DE-zp.25.341.2026</w:t>
      </w:r>
      <w:r w:rsidRPr="00687F8E">
        <w:rPr>
          <w:rFonts w:ascii="Verdana" w:hAnsi="Verdana"/>
          <w:sz w:val="18"/>
          <w:szCs w:val="18"/>
        </w:rPr>
        <w:tab/>
        <w:t xml:space="preserve"> </w:t>
      </w:r>
    </w:p>
    <w:p w14:paraId="37F52C18" w14:textId="77777777" w:rsidR="00687F8E" w:rsidRPr="00687F8E" w:rsidRDefault="00687F8E" w:rsidP="00687F8E">
      <w:pPr>
        <w:rPr>
          <w:rFonts w:ascii="Verdana" w:hAnsi="Verdana"/>
          <w:sz w:val="18"/>
          <w:szCs w:val="18"/>
        </w:rPr>
      </w:pPr>
    </w:p>
    <w:p w14:paraId="53A95FF2" w14:textId="77777777" w:rsidR="00687F8E" w:rsidRPr="00687F8E" w:rsidRDefault="00687F8E" w:rsidP="00687F8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687F8E">
        <w:rPr>
          <w:rFonts w:ascii="Verdana" w:hAnsi="Verdana"/>
          <w:b/>
          <w:sz w:val="18"/>
          <w:szCs w:val="18"/>
        </w:rPr>
        <w:t>WYKONAWCY</w:t>
      </w:r>
    </w:p>
    <w:p w14:paraId="23D2AED7" w14:textId="77777777" w:rsidR="00687F8E" w:rsidRPr="00687F8E" w:rsidRDefault="00687F8E" w:rsidP="00687F8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ubiegający się o zamówienie publiczne</w:t>
      </w:r>
    </w:p>
    <w:p w14:paraId="648A4578" w14:textId="77777777" w:rsidR="00687F8E" w:rsidRPr="00687F8E" w:rsidRDefault="00687F8E" w:rsidP="00687F8E">
      <w:pPr>
        <w:tabs>
          <w:tab w:val="right" w:pos="9072"/>
        </w:tabs>
        <w:rPr>
          <w:rFonts w:ascii="Verdana" w:hAnsi="Verdana"/>
          <w:sz w:val="18"/>
          <w:szCs w:val="18"/>
        </w:rPr>
      </w:pPr>
    </w:p>
    <w:p w14:paraId="279804DB" w14:textId="77777777" w:rsidR="00687F8E" w:rsidRPr="00687F8E" w:rsidRDefault="00687F8E" w:rsidP="00687F8E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 w:rsidRPr="00687F8E">
        <w:rPr>
          <w:rFonts w:ascii="Verdana" w:hAnsi="Verdana"/>
          <w:b/>
          <w:kern w:val="28"/>
          <w:sz w:val="18"/>
          <w:szCs w:val="18"/>
        </w:rPr>
        <w:t>WYJAŚNIENIA TREŚCI SWZ I ZMIANA SWZ 4</w:t>
      </w:r>
    </w:p>
    <w:p w14:paraId="0DFF0D7E" w14:textId="77777777" w:rsidR="00687F8E" w:rsidRPr="00687F8E" w:rsidRDefault="00687F8E" w:rsidP="00687F8E">
      <w:pPr>
        <w:jc w:val="center"/>
        <w:rPr>
          <w:rFonts w:ascii="Verdana" w:hAnsi="Verdana"/>
          <w:color w:val="00B0F0"/>
          <w:sz w:val="18"/>
          <w:szCs w:val="18"/>
        </w:rPr>
      </w:pPr>
    </w:p>
    <w:p w14:paraId="0CB55CA4" w14:textId="77777777" w:rsidR="00687F8E" w:rsidRPr="00687F8E" w:rsidRDefault="00687F8E" w:rsidP="00687F8E">
      <w:pPr>
        <w:jc w:val="center"/>
        <w:rPr>
          <w:rFonts w:ascii="Verdana" w:hAnsi="Verdana"/>
          <w:color w:val="00B0F0"/>
          <w:sz w:val="18"/>
          <w:szCs w:val="18"/>
        </w:rPr>
      </w:pPr>
      <w:r w:rsidRPr="00687F8E">
        <w:rPr>
          <w:rFonts w:ascii="Verdana" w:hAnsi="Verdana"/>
          <w:color w:val="00B0F0"/>
          <w:sz w:val="18"/>
          <w:szCs w:val="18"/>
        </w:rPr>
        <w:t>cz.2 zestawu pytań i odpowiedzi z dnia 12.08.2026</w:t>
      </w:r>
    </w:p>
    <w:p w14:paraId="24AFA618" w14:textId="77777777" w:rsidR="00687F8E" w:rsidRPr="00687F8E" w:rsidRDefault="00687F8E" w:rsidP="00687F8E">
      <w:pPr>
        <w:rPr>
          <w:rFonts w:ascii="Verdana" w:hAnsi="Verdana"/>
          <w:sz w:val="18"/>
          <w:szCs w:val="18"/>
        </w:rPr>
      </w:pPr>
    </w:p>
    <w:p w14:paraId="0183A82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 xml:space="preserve">Dotyczy: postępowania o udzielenie zamówienia publicznego, prowadzonego w trybie: Tryb podstawowy bez negocjacji - art. 275 pkt. 1 ustawy </w:t>
      </w:r>
      <w:proofErr w:type="spellStart"/>
      <w:r w:rsidRPr="00687F8E">
        <w:rPr>
          <w:rFonts w:ascii="Verdana" w:hAnsi="Verdana"/>
          <w:sz w:val="18"/>
          <w:szCs w:val="18"/>
        </w:rPr>
        <w:t>Pzp</w:t>
      </w:r>
      <w:proofErr w:type="spellEnd"/>
      <w:r w:rsidRPr="00687F8E">
        <w:rPr>
          <w:rFonts w:ascii="Verdana" w:hAnsi="Verdana"/>
          <w:b/>
          <w:sz w:val="18"/>
          <w:szCs w:val="18"/>
        </w:rPr>
        <w:t xml:space="preserve"> </w:t>
      </w:r>
      <w:r w:rsidRPr="00687F8E">
        <w:rPr>
          <w:rFonts w:ascii="Verdana" w:hAnsi="Verdana"/>
          <w:bCs/>
          <w:sz w:val="18"/>
          <w:szCs w:val="18"/>
        </w:rPr>
        <w:t>pn.</w:t>
      </w:r>
      <w:r w:rsidRPr="00687F8E">
        <w:rPr>
          <w:rFonts w:ascii="Verdana" w:hAnsi="Verdana"/>
          <w:b/>
          <w:sz w:val="18"/>
          <w:szCs w:val="18"/>
        </w:rPr>
        <w:t xml:space="preserve"> </w:t>
      </w:r>
      <w:r w:rsidRPr="00687F8E">
        <w:rPr>
          <w:rFonts w:ascii="Verdana" w:hAnsi="Verdana"/>
          <w:bCs/>
          <w:sz w:val="18"/>
          <w:szCs w:val="18"/>
        </w:rPr>
        <w:t>”</w:t>
      </w:r>
      <w:r w:rsidRPr="00687F8E">
        <w:rPr>
          <w:rFonts w:ascii="Verdana" w:hAnsi="Verdana"/>
          <w:b/>
          <w:bCs/>
          <w:sz w:val="18"/>
          <w:szCs w:val="18"/>
        </w:rPr>
        <w:t>Modernizacja (rozbudowa z przebudową i remont kapitalny) budynku domu studenckiego DS6 "Bratek" przy ul. Rostafińskiego 6 w Krakowie - KC-DE-zp.25.341.2026</w:t>
      </w:r>
      <w:r w:rsidRPr="00687F8E">
        <w:rPr>
          <w:rFonts w:ascii="Verdana" w:hAnsi="Verdana"/>
          <w:bCs/>
          <w:sz w:val="18"/>
          <w:szCs w:val="18"/>
        </w:rPr>
        <w:t>”</w:t>
      </w:r>
      <w:r w:rsidRPr="00687F8E">
        <w:rPr>
          <w:rFonts w:ascii="Verdana" w:hAnsi="Verdana"/>
          <w:b/>
          <w:sz w:val="18"/>
          <w:szCs w:val="18"/>
        </w:rPr>
        <w:t>.</w:t>
      </w:r>
    </w:p>
    <w:p w14:paraId="32D5E9C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</w:p>
    <w:p w14:paraId="537677CC" w14:textId="77777777" w:rsidR="00687F8E" w:rsidRPr="00687F8E" w:rsidRDefault="00687F8E" w:rsidP="00687F8E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687F8E">
        <w:rPr>
          <w:rFonts w:ascii="Verdana" w:hAnsi="Verdana"/>
          <w:sz w:val="18"/>
          <w:szCs w:val="18"/>
        </w:rPr>
        <w:t>Zamawiający, działając na podstawie art. 284 ust. 6 ustawy z dnia 11 września 2019 r. Prawo zamówień publicznych (Dz.U.2026 poz. 793 ze zm.) udostępnia poniżej treść zapytań do Specyfikacji Warunków Zamówienia (</w:t>
      </w:r>
      <w:r w:rsidRPr="00687F8E">
        <w:rPr>
          <w:rFonts w:ascii="Verdana" w:hAnsi="Verdana"/>
          <w:sz w:val="18"/>
          <w:szCs w:val="18"/>
          <w:lang w:eastAsia="ar-SA"/>
        </w:rPr>
        <w:t>zwanej dalej</w:t>
      </w:r>
      <w:r w:rsidRPr="00687F8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687F8E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687F8E">
        <w:rPr>
          <w:rFonts w:ascii="Verdana" w:hAnsi="Verdana"/>
          <w:sz w:val="18"/>
          <w:szCs w:val="18"/>
        </w:rPr>
        <w:t>wraz z wyjaśnieniami</w:t>
      </w:r>
      <w:r w:rsidRPr="00687F8E">
        <w:rPr>
          <w:rFonts w:ascii="Verdana" w:hAnsi="Verdana"/>
          <w:bCs/>
          <w:sz w:val="18"/>
          <w:szCs w:val="18"/>
          <w:lang w:eastAsia="ar-SA"/>
        </w:rPr>
        <w:t>:</w:t>
      </w:r>
    </w:p>
    <w:p w14:paraId="02DE9FC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</w:p>
    <w:p w14:paraId="31A5064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69:</w:t>
      </w:r>
    </w:p>
    <w:p w14:paraId="22EE182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ZA2 przedstawia wiatę, stojak czy oba elementy? Opis wymaga wiaty ze szkłem, natomiast rysunek pokazuje konstrukcję/stojaki.</w:t>
      </w:r>
    </w:p>
    <w:p w14:paraId="23224D0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75F2588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 pkt. 14.42 lit. b) części opisowej projektu, dotyczącym stojaka na rowery i wiaty na rowery, jest błędnie wskazany rysunek ZA3. Powinien być wskazany rys. ZA2. Rys. ZA2 przedstawia wiatę rowerową i stojak. Rys. ZA3 przedstawia rowerownię zlokalizowaną w podcieniu ze stojakami oraz kratami zamykającymi, które zostały przedstawione na rys ZA5. Opis dotyczy rys. ZA2 - wiaty ze szkłem i stojaki na rowery.</w:t>
      </w:r>
    </w:p>
    <w:p w14:paraId="6D3B932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</w:p>
    <w:p w14:paraId="21892419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70:</w:t>
      </w:r>
    </w:p>
    <w:p w14:paraId="253AA056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Prosimy o skorygowanie zestawienie mas kraty K2 na ZA5: 5,1 m × 3,73 kg/m nie odpowiada podanej masie 8,83 kg.</w:t>
      </w:r>
    </w:p>
    <w:p w14:paraId="5525C122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246F108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Błąd opisu - proszę przyjąć 19,2kg a całkowity ciężar dla kraty K2 81,33kg.</w:t>
      </w:r>
    </w:p>
    <w:p w14:paraId="53DA5A25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AC11960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71:</w:t>
      </w:r>
    </w:p>
    <w:p w14:paraId="5CF7733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masa kotew K1/K2 podana ryczałtowo 5 kg jest prawidłowa i jaki typ/średnica/długość kotew jest wymagany?</w:t>
      </w:r>
    </w:p>
    <w:p w14:paraId="1C0B917F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02D9756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 xml:space="preserve">Masa kotew podana ryczałtowo nie jest ich prawidłową, finalną masą. W zestawieniach zastępczo podaje się masę kotew niezależnie od obmiaru. Typ, średnicę i długość kotew należy dobrać do wagi kraty, materiału, do którego będzie kotwiona, odległości do miejsca </w:t>
      </w:r>
      <w:proofErr w:type="spellStart"/>
      <w:r w:rsidRPr="00687F8E">
        <w:rPr>
          <w:rFonts w:ascii="Verdana" w:hAnsi="Verdana"/>
          <w:sz w:val="18"/>
          <w:szCs w:val="18"/>
        </w:rPr>
        <w:t>kotwienia</w:t>
      </w:r>
      <w:proofErr w:type="spellEnd"/>
      <w:r w:rsidRPr="00687F8E">
        <w:rPr>
          <w:rFonts w:ascii="Verdana" w:hAnsi="Verdana"/>
          <w:sz w:val="18"/>
          <w:szCs w:val="18"/>
        </w:rPr>
        <w:t xml:space="preserve"> itp. Na etapie realizacji robót Wykonawca przedstawi Zamawiającemu do zatwierdzenia rysunek warsztatowy obejmujący całe rozwiązanie krat rowerowni, łącznie z proponowanymi kotwami.</w:t>
      </w:r>
    </w:p>
    <w:p w14:paraId="6B7AAA9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5BEF547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72:</w:t>
      </w:r>
    </w:p>
    <w:p w14:paraId="0787986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wszystkie elementy krat rowerowni mają być ze stali 1.4404/316L, także ościeżnice, wypełnienia, zawiasy i kotwy?</w:t>
      </w:r>
    </w:p>
    <w:p w14:paraId="77EF162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2A3131A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Tak, wszystkie elementy krat rowerowni mają być ze stali 1.4404/316L.</w:t>
      </w:r>
    </w:p>
    <w:p w14:paraId="3C4BA884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3D8CB4A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73:</w:t>
      </w:r>
    </w:p>
    <w:p w14:paraId="59FB6FA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Kto wykonuje przeniesienie kamer, włączników i szafek rewizyjnych kolidujących z kratami rowerowni?</w:t>
      </w:r>
    </w:p>
    <w:p w14:paraId="1DF7B669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431D91F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Wykonawca w trakcie robót rozbiórkowych.</w:t>
      </w:r>
    </w:p>
    <w:p w14:paraId="607596E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1A2C1F60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29BC6378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B40B1E9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lastRenderedPageBreak/>
        <w:t>Pytanie 74:</w:t>
      </w:r>
    </w:p>
    <w:p w14:paraId="3BF5FDC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Prosimy o potwierdzenie, że KW-01–KW-40 stanowią kompletny i aktualny zestaw oraz przekazać spis rysunków z tytułami i rewizjami.</w:t>
      </w:r>
    </w:p>
    <w:p w14:paraId="671595B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421E09F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Rysunki KW-01–KW-40 wraz z rysunkiem KW-41, dodanym w procedurze wyjaśniania treści SWZ stanowią kompletny i aktualny zestaw. Kwestia spisu rysunków z tytułami i rewizjami została wyjaśniona w odpowiedzi na pytanie nr 16.</w:t>
      </w:r>
    </w:p>
    <w:p w14:paraId="15720DB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538436E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75:</w:t>
      </w:r>
    </w:p>
    <w:p w14:paraId="123A7869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wszystkie zestawienia stali zostały zweryfikowane i czy Zamawiający udostępni pliki źródłowe?</w:t>
      </w:r>
    </w:p>
    <w:p w14:paraId="682A14B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316A39C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Zamawiający nie posiada “plików źródłowych” w rozumieniu dokumentów źródłowych Projektanta, na podstawie których powstały przedmiotowe zestawienia stali. Tak, wszystkie zestawienia stali zostały zweryfikowane przez Projektanta. </w:t>
      </w:r>
    </w:p>
    <w:p w14:paraId="53384E94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322B6D3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76:</w:t>
      </w:r>
    </w:p>
    <w:p w14:paraId="4708BA1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otwory instalacyjne mniejsze niż 20×20 cm mogą być wykonywane bez indywidualnego projektu w każdej płycie żerańskiej?</w:t>
      </w:r>
      <w:r w:rsidRPr="00687F8E">
        <w:rPr>
          <w:rFonts w:ascii="Verdana" w:hAnsi="Verdana"/>
          <w:sz w:val="18"/>
          <w:szCs w:val="18"/>
        </w:rPr>
        <w:t> </w:t>
      </w:r>
    </w:p>
    <w:p w14:paraId="34D783D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4AE951C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 zakresie kanału płyty żerańskiej dopuszczone są pojedyncze przewierty fi 20 w szerokości otworu pomiędzy żebrami. Należy je wykonywać zgodnie z procedurą opisaną w projekcie.</w:t>
      </w:r>
    </w:p>
    <w:p w14:paraId="73F413F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75AFCE0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77:</w:t>
      </w:r>
    </w:p>
    <w:p w14:paraId="74803CA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 xml:space="preserve">Czy marka kotew </w:t>
      </w:r>
      <w:proofErr w:type="spellStart"/>
      <w:r w:rsidRPr="00687F8E">
        <w:rPr>
          <w:rFonts w:ascii="Verdana" w:hAnsi="Verdana"/>
          <w:i/>
          <w:iCs/>
          <w:sz w:val="18"/>
          <w:szCs w:val="18"/>
        </w:rPr>
        <w:t>Hilti</w:t>
      </w:r>
      <w:proofErr w:type="spellEnd"/>
      <w:r w:rsidRPr="00687F8E">
        <w:rPr>
          <w:rFonts w:ascii="Verdana" w:hAnsi="Verdana"/>
          <w:i/>
          <w:iCs/>
          <w:sz w:val="18"/>
          <w:szCs w:val="18"/>
        </w:rPr>
        <w:t xml:space="preserve"> jest obligatoryjna? Prosimy podać wymagane nośności, system żywicy, głębokości, klasę ekspozycji i odporność ogniową.</w:t>
      </w:r>
      <w:r w:rsidRPr="00687F8E">
        <w:rPr>
          <w:rFonts w:ascii="Verdana" w:hAnsi="Verdana"/>
          <w:sz w:val="18"/>
          <w:szCs w:val="18"/>
        </w:rPr>
        <w:t> </w:t>
      </w:r>
    </w:p>
    <w:p w14:paraId="76A3EFF0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0A38D495" w14:textId="5464B68E" w:rsidR="00687F8E" w:rsidRPr="009D0C3D" w:rsidRDefault="00687F8E" w:rsidP="00687F8E">
      <w:pPr>
        <w:jc w:val="both"/>
        <w:rPr>
          <w:rFonts w:ascii="Verdana" w:hAnsi="Verdana"/>
          <w:color w:val="FF0000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Parametry kotwy zostały opisane w karcie technicznej i zaoferowane kotwy mają być zgodne z tymi parametrami.</w:t>
      </w:r>
      <w:r w:rsidR="009D0C3D">
        <w:rPr>
          <w:rFonts w:ascii="Verdana" w:hAnsi="Verdana"/>
          <w:sz w:val="18"/>
          <w:szCs w:val="18"/>
        </w:rPr>
        <w:t xml:space="preserve"> </w:t>
      </w:r>
      <w:r w:rsidR="009D0C3D" w:rsidRPr="00E97C2B">
        <w:rPr>
          <w:rFonts w:ascii="Verdana" w:hAnsi="Verdana"/>
          <w:sz w:val="18"/>
          <w:szCs w:val="18"/>
        </w:rPr>
        <w:t xml:space="preserve">Kotwy </w:t>
      </w:r>
      <w:proofErr w:type="spellStart"/>
      <w:r w:rsidR="009D0C3D" w:rsidRPr="00E97C2B">
        <w:rPr>
          <w:rFonts w:ascii="Verdana" w:hAnsi="Verdana"/>
          <w:sz w:val="18"/>
          <w:szCs w:val="18"/>
        </w:rPr>
        <w:t>Hilti</w:t>
      </w:r>
      <w:proofErr w:type="spellEnd"/>
      <w:r w:rsidR="009D0C3D" w:rsidRPr="00E97C2B">
        <w:rPr>
          <w:rFonts w:ascii="Verdana" w:hAnsi="Verdana"/>
          <w:sz w:val="18"/>
          <w:szCs w:val="18"/>
        </w:rPr>
        <w:t xml:space="preserve"> są przykładowe.</w:t>
      </w:r>
    </w:p>
    <w:p w14:paraId="41401E7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53DE6A64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78:</w:t>
      </w:r>
    </w:p>
    <w:p w14:paraId="16A45506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Kto pokrywa koszt skanowania zbrojenia, prób wyrywania kotew i nadzoru konstruktora przy otworach?</w:t>
      </w:r>
    </w:p>
    <w:p w14:paraId="395E80B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797D2639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Wykonawca ponosi wszelkie koszty związane z prawidłowym wykonaniem przebić i otworów instalacyjnych oraz nadzorem własnym konstruktora. Zamawiający zapewnia nadzór autorski w branży konstrukcyjnej według potrzeb.</w:t>
      </w:r>
    </w:p>
    <w:p w14:paraId="513063E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4876417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79:</w:t>
      </w:r>
    </w:p>
    <w:p w14:paraId="7BB9EE7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 xml:space="preserve">Czy zabezpieczenie antykorozyjne stali ma być </w:t>
      </w:r>
      <w:proofErr w:type="spellStart"/>
      <w:r w:rsidRPr="00687F8E">
        <w:rPr>
          <w:rFonts w:ascii="Verdana" w:hAnsi="Verdana"/>
          <w:i/>
          <w:iCs/>
          <w:sz w:val="18"/>
          <w:szCs w:val="18"/>
        </w:rPr>
        <w:t>ocynkiem</w:t>
      </w:r>
      <w:proofErr w:type="spellEnd"/>
      <w:r w:rsidRPr="00687F8E">
        <w:rPr>
          <w:rFonts w:ascii="Verdana" w:hAnsi="Verdana"/>
          <w:i/>
          <w:iCs/>
          <w:sz w:val="18"/>
          <w:szCs w:val="18"/>
        </w:rPr>
        <w:t xml:space="preserve"> czy systemem malarskim i dla jakiej kategorii korozyjności?</w:t>
      </w:r>
      <w:r w:rsidRPr="00687F8E">
        <w:rPr>
          <w:rFonts w:ascii="Verdana" w:hAnsi="Verdana"/>
          <w:sz w:val="18"/>
          <w:szCs w:val="18"/>
        </w:rPr>
        <w:t> </w:t>
      </w:r>
    </w:p>
    <w:p w14:paraId="26FEE1B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1B26EFA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Konstrukcje stalowe zabezpieczyć przez ocynkowanie lub malowanie zgodne zapisami na rysunkach. Kategoria korozyjności C3.</w:t>
      </w:r>
    </w:p>
    <w:p w14:paraId="3FC45A9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6AD34D6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80:</w:t>
      </w:r>
    </w:p>
    <w:p w14:paraId="474D7BB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Jaka klasa odporności ogniowej jest wymagana dla każdej belki/ramy stalowej i czy dopuszcza się obudowę płytową zamiast farby pęczniejącej?</w:t>
      </w:r>
    </w:p>
    <w:p w14:paraId="02906C9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79A34E9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Odporność pożarowa tych elementów została zaprojektowana zgodnie z punktem 16.7 opisu projektu architektoniczno-budowlanego dotyczącego ochrony pożarowej w budynku. Dopuszcza się obudowę płytową po przedstawieniu przez Wykonawcę proponowanego rozwiązania do akceptacji Zamawiającego. Obudowy należy dobrać zgodnie z wymaganiami dla poszczególnych przegród gdzie element jest wprowadzany.</w:t>
      </w:r>
    </w:p>
    <w:p w14:paraId="090A363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67CDF00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81:</w:t>
      </w:r>
    </w:p>
    <w:p w14:paraId="627D606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fundamenty podcieni i szybu zaprojektowano bez badań geotechnicznych; kto ponosi ryzyko gruntów nienośnych i wymiany gruntu?</w:t>
      </w:r>
      <w:r w:rsidRPr="00687F8E">
        <w:rPr>
          <w:rFonts w:ascii="Verdana" w:hAnsi="Verdana"/>
          <w:sz w:val="18"/>
          <w:szCs w:val="18"/>
        </w:rPr>
        <w:t> </w:t>
      </w:r>
    </w:p>
    <w:p w14:paraId="7EE7596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0C5DC16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Opinia geotechniczna oraz badania podłoża gruntowego zawarto w projekcie architektoniczno-budowlanym. Nie przewiduje się wymiany gruntu.</w:t>
      </w:r>
    </w:p>
    <w:p w14:paraId="03D13F00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0D6A876B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4AD9D1FC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2159A0A4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EDB252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lastRenderedPageBreak/>
        <w:t>Pytanie 82:</w:t>
      </w:r>
    </w:p>
    <w:p w14:paraId="782C53C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głębokość podszybia i obciążenia szybu są uzgodnione z wybranym producentem windy?</w:t>
      </w:r>
    </w:p>
    <w:p w14:paraId="5795FB1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2FCF65DF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Głębokość i obciążenia zostały zaprojektowane w oparciu wybrany przykładowy typ windy. Parametry techniczne szybu zapewniają realizację i montaż urządzenia dla wielu producentów dźwigów. Producenta windy dobiera Wykonawca i dostosowuje do niego projekt jeśli jest to wymagane.</w:t>
      </w:r>
    </w:p>
    <w:p w14:paraId="4283E9C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59ACB2B0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83:</w:t>
      </w:r>
    </w:p>
    <w:p w14:paraId="514FEEA4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płyta i belki HEB/IPE przy szybie są skoordynowane z otworami drzwi, prowadnicami, hakami i instalacjami windy?</w:t>
      </w:r>
    </w:p>
    <w:p w14:paraId="0282E83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73134943" w14:textId="20377C0D" w:rsidR="00687F8E" w:rsidRPr="00687F8E" w:rsidRDefault="00E97C2B" w:rsidP="00687F8E">
      <w:pPr>
        <w:jc w:val="both"/>
        <w:rPr>
          <w:rFonts w:ascii="Verdana" w:hAnsi="Verdana"/>
          <w:sz w:val="18"/>
          <w:szCs w:val="18"/>
        </w:rPr>
      </w:pPr>
      <w:r w:rsidRPr="00E97C2B">
        <w:rPr>
          <w:rFonts w:ascii="Verdana" w:hAnsi="Verdana"/>
          <w:sz w:val="18"/>
          <w:szCs w:val="18"/>
        </w:rPr>
        <w:t>Tak, płyta i belki HEB/IPE przy szybie są skoordynowane z otworami drzwi, prowadnicami, hakami i instalacjami windy użytej w dokumentacji (</w:t>
      </w:r>
      <w:proofErr w:type="spellStart"/>
      <w:r w:rsidRPr="00E97C2B">
        <w:rPr>
          <w:rFonts w:ascii="Verdana" w:hAnsi="Verdana"/>
          <w:sz w:val="18"/>
          <w:szCs w:val="18"/>
        </w:rPr>
        <w:t>Kone</w:t>
      </w:r>
      <w:proofErr w:type="spellEnd"/>
      <w:r w:rsidRPr="00E97C2B">
        <w:rPr>
          <w:rFonts w:ascii="Verdana" w:hAnsi="Verdana"/>
          <w:sz w:val="18"/>
          <w:szCs w:val="18"/>
        </w:rPr>
        <w:t>). Wykonawca nie jest ograniczony do modelu windy użytego w dokumentacji. W przypadku wyboru innego rozwiązania Wykonawca dostosuje dokumentację pod to rozwiązanie</w:t>
      </w:r>
      <w:r w:rsidR="00687F8E" w:rsidRPr="00687F8E">
        <w:rPr>
          <w:rFonts w:ascii="Verdana" w:hAnsi="Verdana"/>
          <w:sz w:val="18"/>
          <w:szCs w:val="18"/>
        </w:rPr>
        <w:t>.</w:t>
      </w:r>
    </w:p>
    <w:p w14:paraId="45EE93E4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6CAC68A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84:</w:t>
      </w:r>
    </w:p>
    <w:p w14:paraId="2D3855F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Prosimy o potwierdzenie, czy konstrukcja pod klapę dymową i wyłaz to płyty WPS na IPE240 czy inne rozwiązanie wskazane w architekturze.</w:t>
      </w:r>
      <w:r w:rsidRPr="00687F8E">
        <w:rPr>
          <w:rFonts w:ascii="Verdana" w:hAnsi="Verdana"/>
          <w:sz w:val="18"/>
          <w:szCs w:val="18"/>
        </w:rPr>
        <w:t> </w:t>
      </w:r>
    </w:p>
    <w:p w14:paraId="6546C9A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67B3259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 xml:space="preserve">Zgodnie z rysunkiem konstrukcji nr Kw17 – płyty </w:t>
      </w:r>
      <w:proofErr w:type="spellStart"/>
      <w:r w:rsidRPr="00687F8E">
        <w:rPr>
          <w:rFonts w:ascii="Verdana" w:hAnsi="Verdana"/>
          <w:sz w:val="18"/>
          <w:szCs w:val="18"/>
        </w:rPr>
        <w:t>wps</w:t>
      </w:r>
      <w:proofErr w:type="spellEnd"/>
      <w:r w:rsidRPr="00687F8E">
        <w:rPr>
          <w:rFonts w:ascii="Verdana" w:hAnsi="Verdana"/>
          <w:sz w:val="18"/>
          <w:szCs w:val="18"/>
        </w:rPr>
        <w:t>.</w:t>
      </w:r>
    </w:p>
    <w:p w14:paraId="5EB52F5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67E56276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85:</w:t>
      </w:r>
    </w:p>
    <w:p w14:paraId="65FF248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płyta w osiach 9–10 z KW-40 ma dokładnie 1526,23 kg stali i czy obejmuje zakłady, startery i odpady?</w:t>
      </w:r>
      <w:r w:rsidRPr="00687F8E">
        <w:rPr>
          <w:rFonts w:ascii="Verdana" w:hAnsi="Verdana"/>
          <w:sz w:val="18"/>
          <w:szCs w:val="18"/>
        </w:rPr>
        <w:t> </w:t>
      </w:r>
    </w:p>
    <w:p w14:paraId="0828485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0C6B5B5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 zestawieniu stali są wyszczególnione elementy składowe generujące ciężar.</w:t>
      </w:r>
    </w:p>
    <w:p w14:paraId="0D9CD60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54CAA85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86:</w:t>
      </w:r>
    </w:p>
    <w:p w14:paraId="7DA8485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wzrost obciążenia stropów o ok. 2% uwzględnia pełne wyposażenie, instalacje, sufity, posadzki, serwerownię i centrale?</w:t>
      </w:r>
    </w:p>
    <w:p w14:paraId="3BEB7FA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548C177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Tak uwzględnia.</w:t>
      </w:r>
    </w:p>
    <w:p w14:paraId="1D6DBB4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15B6545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87:</w:t>
      </w:r>
    </w:p>
    <w:p w14:paraId="0ECEFE6E" w14:textId="77777777" w:rsidR="00687F8E" w:rsidRPr="00114330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114330">
        <w:rPr>
          <w:rFonts w:ascii="Verdana" w:hAnsi="Verdana"/>
          <w:i/>
          <w:iCs/>
          <w:sz w:val="18"/>
          <w:szCs w:val="18"/>
        </w:rPr>
        <w:t>Jak będą rozliczane iniekcje, naprawy betonu i zabezpieczenia rys ujawnionych po skuciu?</w:t>
      </w:r>
    </w:p>
    <w:p w14:paraId="36036D7F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3C8C6912" w14:textId="0956DF81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Należy przyjąć zgodnie z przedmiarem poz. 148.</w:t>
      </w:r>
      <w:r w:rsidR="00114330">
        <w:rPr>
          <w:rFonts w:ascii="Verdana" w:hAnsi="Verdana"/>
          <w:sz w:val="18"/>
          <w:szCs w:val="18"/>
        </w:rPr>
        <w:t xml:space="preserve"> </w:t>
      </w:r>
      <w:r w:rsidR="00114330" w:rsidRPr="00114330">
        <w:rPr>
          <w:rFonts w:ascii="Verdana" w:hAnsi="Verdana"/>
          <w:sz w:val="18"/>
          <w:szCs w:val="18"/>
        </w:rPr>
        <w:t xml:space="preserve">Poz. 148 dotyczy wypełnienia otworów w płytach żerańskich ścian i stropów po uprzednim oczyszczeniu </w:t>
      </w:r>
      <w:proofErr w:type="spellStart"/>
      <w:r w:rsidR="00114330" w:rsidRPr="00114330">
        <w:rPr>
          <w:rFonts w:ascii="Verdana" w:hAnsi="Verdana"/>
          <w:sz w:val="18"/>
          <w:szCs w:val="18"/>
        </w:rPr>
        <w:t>styrodurem</w:t>
      </w:r>
      <w:proofErr w:type="spellEnd"/>
      <w:r w:rsidR="00114330" w:rsidRPr="00114330">
        <w:rPr>
          <w:rFonts w:ascii="Verdana" w:hAnsi="Verdana"/>
          <w:sz w:val="18"/>
          <w:szCs w:val="18"/>
        </w:rPr>
        <w:t xml:space="preserve"> i pianką poliuretanową p.poż. nast</w:t>
      </w:r>
      <w:r w:rsidR="00114330">
        <w:rPr>
          <w:rFonts w:ascii="Verdana" w:hAnsi="Verdana"/>
          <w:sz w:val="18"/>
          <w:szCs w:val="18"/>
        </w:rPr>
        <w:t>ę</w:t>
      </w:r>
      <w:r w:rsidR="00114330" w:rsidRPr="00114330">
        <w:rPr>
          <w:rFonts w:ascii="Verdana" w:hAnsi="Verdana"/>
          <w:sz w:val="18"/>
          <w:szCs w:val="18"/>
        </w:rPr>
        <w:t xml:space="preserve">pnie zaszpachlować zaprawą naprawczą np. </w:t>
      </w:r>
      <w:proofErr w:type="spellStart"/>
      <w:r w:rsidR="00114330" w:rsidRPr="00114330">
        <w:rPr>
          <w:rFonts w:ascii="Verdana" w:hAnsi="Verdana"/>
          <w:sz w:val="18"/>
          <w:szCs w:val="18"/>
        </w:rPr>
        <w:t>Kerakoll</w:t>
      </w:r>
      <w:proofErr w:type="spellEnd"/>
      <w:r w:rsidR="00114330" w:rsidRPr="00114330">
        <w:rPr>
          <w:rFonts w:ascii="Verdana" w:hAnsi="Verdana"/>
          <w:sz w:val="18"/>
          <w:szCs w:val="18"/>
        </w:rPr>
        <w:t xml:space="preserve"> </w:t>
      </w:r>
      <w:proofErr w:type="spellStart"/>
      <w:r w:rsidR="00114330" w:rsidRPr="00114330">
        <w:rPr>
          <w:rFonts w:ascii="Verdana" w:hAnsi="Verdana"/>
          <w:sz w:val="18"/>
          <w:szCs w:val="18"/>
        </w:rPr>
        <w:t>Geolite</w:t>
      </w:r>
      <w:proofErr w:type="spellEnd"/>
      <w:r w:rsidR="00114330" w:rsidRPr="00114330">
        <w:rPr>
          <w:rFonts w:ascii="Verdana" w:hAnsi="Verdana"/>
          <w:sz w:val="18"/>
          <w:szCs w:val="18"/>
        </w:rPr>
        <w:t xml:space="preserve"> 40</w:t>
      </w:r>
      <w:r w:rsidR="00114330">
        <w:rPr>
          <w:rFonts w:ascii="Verdana" w:hAnsi="Verdana"/>
          <w:sz w:val="18"/>
          <w:szCs w:val="18"/>
        </w:rPr>
        <w:t>.</w:t>
      </w:r>
    </w:p>
    <w:p w14:paraId="71A79966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45B4D14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88:</w:t>
      </w:r>
    </w:p>
    <w:p w14:paraId="44CE122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Prosimy o potwierdzenie moc CO: 152 kW w projekcie elektryki/</w:t>
      </w:r>
      <w:proofErr w:type="spellStart"/>
      <w:r w:rsidRPr="00687F8E">
        <w:rPr>
          <w:rFonts w:ascii="Verdana" w:hAnsi="Verdana"/>
          <w:i/>
          <w:iCs/>
          <w:sz w:val="18"/>
          <w:szCs w:val="18"/>
        </w:rPr>
        <w:t>AKPiA</w:t>
      </w:r>
      <w:proofErr w:type="spellEnd"/>
      <w:r w:rsidRPr="00687F8E">
        <w:rPr>
          <w:rFonts w:ascii="Verdana" w:hAnsi="Verdana"/>
          <w:i/>
          <w:iCs/>
          <w:sz w:val="18"/>
          <w:szCs w:val="18"/>
        </w:rPr>
        <w:t xml:space="preserve"> czy 154 kW w technologii węzła.</w:t>
      </w:r>
    </w:p>
    <w:p w14:paraId="309BF95A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6AB9C39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Zgodnie z projektem Technologia węzła - moc CO to 154kW. </w:t>
      </w:r>
    </w:p>
    <w:p w14:paraId="73916626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2C08A808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89:</w:t>
      </w:r>
    </w:p>
    <w:p w14:paraId="632307D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warunki MPEC są nadal ważne? Jeśli wygasną przed realizacją, kto ponosi ryzyko zmian i koszt ponownego uzgodnienia?</w:t>
      </w:r>
    </w:p>
    <w:p w14:paraId="51F14B4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30E2B4A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 opinii Zamawiającego nie ma ryzyka w postaci konieczności ponownych uzgodnień warunków z MPEC. Warunki techniczne MPEC są z 12.01.2026 roku i są ważne przez okres dwóch lat od daty wydania, tj. do 11.01.2028 roku. Projekt Wykonawczy został uzgodniony przez MPEC 01.06.2026 roku i również jest ważne przez okres 2 lat, tj. do 31.05.2028 roku. Zgodnie z SWZ okres realizacji zamierzenia budowlanego to 11 miesięcy od daty podpisania umowy. W związku z tym, w przypadku gdy zajdzie konieczność ponownych uzgodnień z MPEC ryzyko zmian i koszty z tym związane poniesie strona odpowiedzialna za wydłużenie okresu realizacji zamierzenia budowlanego.</w:t>
      </w:r>
    </w:p>
    <w:p w14:paraId="0438F87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 </w:t>
      </w:r>
    </w:p>
    <w:p w14:paraId="18A0642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90:</w:t>
      </w:r>
    </w:p>
    <w:p w14:paraId="5C2F79E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Prosimy o wskazanie granicę własności i dostaw na pierwszych zaworach oraz dokładny zakres MPEC, Odbiorcy i wykonawcy.</w:t>
      </w:r>
    </w:p>
    <w:p w14:paraId="2465245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572FA34D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lastRenderedPageBreak/>
        <w:t>Zgodnie z Warunkami technicznymi MPEC, węzeł cieplny, zarówno teraz, jak i po zakończeniu robót budowlanych będzie własnością Zamawiającego. W Warunkach technicznych i na schemacie technologicznym wskazane są granice własności.</w:t>
      </w:r>
    </w:p>
    <w:p w14:paraId="59989351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</w:p>
    <w:p w14:paraId="4D587C2B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91:</w:t>
      </w:r>
    </w:p>
    <w:p w14:paraId="56A04D1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 xml:space="preserve">Które istniejące urządzenia </w:t>
      </w:r>
      <w:proofErr w:type="spellStart"/>
      <w:r w:rsidRPr="00687F8E">
        <w:rPr>
          <w:rFonts w:ascii="Verdana" w:hAnsi="Verdana"/>
          <w:i/>
          <w:iCs/>
          <w:sz w:val="18"/>
          <w:szCs w:val="18"/>
        </w:rPr>
        <w:t>AKPiA</w:t>
      </w:r>
      <w:proofErr w:type="spellEnd"/>
      <w:r w:rsidRPr="00687F8E">
        <w:rPr>
          <w:rFonts w:ascii="Verdana" w:hAnsi="Verdana"/>
          <w:i/>
          <w:iCs/>
          <w:sz w:val="18"/>
          <w:szCs w:val="18"/>
        </w:rPr>
        <w:t xml:space="preserve"> i pomiarowe należy przekazać MPEC, a które zutylizować?</w:t>
      </w:r>
    </w:p>
    <w:p w14:paraId="5EBB6D6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5760419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 xml:space="preserve">Urządzenia </w:t>
      </w:r>
      <w:proofErr w:type="spellStart"/>
      <w:r w:rsidRPr="00687F8E">
        <w:rPr>
          <w:rFonts w:ascii="Verdana" w:hAnsi="Verdana"/>
          <w:sz w:val="18"/>
          <w:szCs w:val="18"/>
        </w:rPr>
        <w:t>AKPiA</w:t>
      </w:r>
      <w:proofErr w:type="spellEnd"/>
      <w:r w:rsidRPr="00687F8E">
        <w:rPr>
          <w:rFonts w:ascii="Verdana" w:hAnsi="Verdana"/>
          <w:sz w:val="18"/>
          <w:szCs w:val="18"/>
        </w:rPr>
        <w:t xml:space="preserve"> i pomiarowe są własnością Zamawiającego i należy je rozebrać i zutylizować. Liczniki ciepła stanowią własność MPEC.</w:t>
      </w:r>
    </w:p>
    <w:p w14:paraId="22C1E4ED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378171E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93:</w:t>
      </w:r>
    </w:p>
    <w:p w14:paraId="311B8429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trzy ciepłomierze są dostawą wykonawcy czy MPEC i kto odpowiada za legalizację, plombowanie i komunikację?</w:t>
      </w:r>
    </w:p>
    <w:p w14:paraId="07A9DD75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1AA18CB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Dostarczenie ciepłomierzy leży w zakresie Zamawiającego. Należy uwzględnić ich montaż,  legalizację, plombowanie i komunikacja w tym zakresie z MPEC.</w:t>
      </w:r>
    </w:p>
    <w:p w14:paraId="429F7589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A6CDFAF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95:</w:t>
      </w:r>
    </w:p>
    <w:p w14:paraId="3DCE316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węzeł kompaktowy ma być prefabrykowany w dwóch częściach i scalony na miejscu? Prosimy podać maksymalne gabaryty transportowe i trasę wniesienia.</w:t>
      </w:r>
      <w:r w:rsidRPr="00687F8E">
        <w:rPr>
          <w:rFonts w:ascii="Verdana" w:hAnsi="Verdana"/>
          <w:sz w:val="18"/>
          <w:szCs w:val="18"/>
        </w:rPr>
        <w:t> </w:t>
      </w:r>
    </w:p>
    <w:p w14:paraId="2A4983B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 </w:t>
      </w:r>
    </w:p>
    <w:p w14:paraId="614E309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Węzeł ma być zgodny z projektem technologii węzła. Dopuszczamy dostawę węzła w dwóch częściach i scalenie go na miejscu. Gabaryty transportowe wynikają z otworów ujętych w projekcie branży architektonicznej, trasa wniesienia leży po stronie Wykonawcy.</w:t>
      </w:r>
    </w:p>
    <w:p w14:paraId="0FABAE8F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48546E47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96:</w:t>
      </w:r>
    </w:p>
    <w:p w14:paraId="6A177AD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Czy dwa zasobniki CWU 500 l mieszczą się w drzwiach i pomieszczeniu po uwzględnieniu stref serwisowych?</w:t>
      </w:r>
    </w:p>
    <w:p w14:paraId="21CFD31C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3CE2A69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Zasobniki CWU o pojemności 500l</w:t>
      </w:r>
      <w:r w:rsidRPr="00687F8E">
        <w:rPr>
          <w:rFonts w:ascii="Verdana" w:hAnsi="Verdana"/>
          <w:b/>
          <w:bCs/>
          <w:sz w:val="18"/>
          <w:szCs w:val="18"/>
        </w:rPr>
        <w:t xml:space="preserve"> </w:t>
      </w:r>
      <w:r w:rsidRPr="00687F8E">
        <w:rPr>
          <w:rFonts w:ascii="Verdana" w:hAnsi="Verdana"/>
          <w:sz w:val="18"/>
          <w:szCs w:val="18"/>
        </w:rPr>
        <w:t>zostały zlokalizowane w sposób uwzględniający strefy serwisowe. i mieszczą się w projektowanych drzwiach</w:t>
      </w:r>
    </w:p>
    <w:p w14:paraId="5E1D213A" w14:textId="77777777" w:rsidR="00687F8E" w:rsidRPr="00687F8E" w:rsidRDefault="00687F8E" w:rsidP="00687F8E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1E90A762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Pytanie 103:</w:t>
      </w:r>
    </w:p>
    <w:p w14:paraId="2E721100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i/>
          <w:iCs/>
          <w:sz w:val="18"/>
          <w:szCs w:val="18"/>
        </w:rPr>
        <w:t>Prosimy o wskazanie wszystkie rozdzielnice oznaczone jako 'nieprojektowane' i ich dostawcę, parametry oraz termin dostawy.</w:t>
      </w:r>
    </w:p>
    <w:p w14:paraId="690301E4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b/>
          <w:bCs/>
          <w:sz w:val="18"/>
          <w:szCs w:val="18"/>
        </w:rPr>
        <w:t>Odpowiedź:</w:t>
      </w:r>
    </w:p>
    <w:p w14:paraId="336C8050" w14:textId="24497820" w:rsidR="00687F8E" w:rsidRPr="00687F8E" w:rsidRDefault="00114330" w:rsidP="00687F8E">
      <w:pPr>
        <w:jc w:val="both"/>
        <w:rPr>
          <w:rFonts w:ascii="Verdana" w:hAnsi="Verdana"/>
          <w:sz w:val="18"/>
          <w:szCs w:val="18"/>
        </w:rPr>
      </w:pPr>
      <w:r w:rsidRPr="00114330">
        <w:rPr>
          <w:rFonts w:ascii="Verdana" w:hAnsi="Verdana"/>
          <w:sz w:val="18"/>
          <w:szCs w:val="18"/>
        </w:rPr>
        <w:t>Rozdzielnicą „nieprojektowaną” w projekcie elektrycznym jest rozdzielnica TWCO. Jej projekt jest zawarty w części dotyczącej Węzła Cieplnego (INSTALACJE WĘZEŁ CIEPLNY\WĘZEŁ CIEPLNY ELEKTRYKA AKPIA). Dostawa i termin po stronie Wykonawcy</w:t>
      </w:r>
      <w:r>
        <w:rPr>
          <w:rFonts w:ascii="Verdana" w:hAnsi="Verdana"/>
          <w:sz w:val="18"/>
          <w:szCs w:val="18"/>
        </w:rPr>
        <w:t xml:space="preserve">. </w:t>
      </w:r>
      <w:r w:rsidR="00687F8E" w:rsidRPr="00687F8E">
        <w:rPr>
          <w:rFonts w:ascii="Verdana" w:hAnsi="Verdana"/>
          <w:sz w:val="18"/>
          <w:szCs w:val="18"/>
        </w:rPr>
        <w:t>Parametry zgodnie z dokumentacją.</w:t>
      </w:r>
    </w:p>
    <w:p w14:paraId="648359E6" w14:textId="77777777" w:rsidR="00687F8E" w:rsidRP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7E877B9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104:</w:t>
      </w:r>
    </w:p>
    <w:p w14:paraId="2E9E111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Czy PWP i PWP PV stanowią jeden skoordynowany system oraz czy ich urządzenia posiadają komplet wymaganych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dopuszczeń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>?</w:t>
      </w:r>
    </w:p>
    <w:p w14:paraId="3E30E1D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7455F81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 xml:space="preserve">PWP i PWP PV stanowią dwa osobne przyciski wyzwalające. Powinny posiadać komplet wymaganych </w:t>
      </w:r>
      <w:proofErr w:type="spellStart"/>
      <w:r w:rsidRPr="00BA09CA">
        <w:rPr>
          <w:rFonts w:ascii="Verdana" w:hAnsi="Verdana"/>
          <w:sz w:val="18"/>
          <w:szCs w:val="18"/>
        </w:rPr>
        <w:t>dopuszczeń</w:t>
      </w:r>
      <w:proofErr w:type="spellEnd"/>
      <w:r w:rsidRPr="00BA09CA">
        <w:rPr>
          <w:rFonts w:ascii="Verdana" w:hAnsi="Verdana"/>
          <w:sz w:val="18"/>
          <w:szCs w:val="18"/>
        </w:rPr>
        <w:t>. </w:t>
      </w:r>
    </w:p>
    <w:p w14:paraId="475303A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56BF829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105:</w:t>
      </w:r>
    </w:p>
    <w:p w14:paraId="0C02D1A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obwody urządzeń pożarowych mają pełne trasy E90/PH90 z certyfikowanym zespołem kablowym, łącznie z mocowaniami i przejściami?</w:t>
      </w:r>
    </w:p>
    <w:p w14:paraId="0067E4D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2CC2463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</w:t>
      </w:r>
    </w:p>
    <w:p w14:paraId="62B2C03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7E84339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106:</w:t>
      </w:r>
    </w:p>
    <w:p w14:paraId="30BB807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Czy DALI obejmuje wszystkie oprawy korytarzy i obu sal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telewizyjnych?Prosimy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o adresację, sceny i zakres panelu portierni.</w:t>
      </w:r>
    </w:p>
    <w:p w14:paraId="140E85FB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0C36BA17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Tak. Adresacja i sceny zgodnie z dokumentacją: Schemat sterowania oświetleniem DALI – rys. E-17, Opis techniczny pkt. 9</w:t>
      </w:r>
    </w:p>
    <w:p w14:paraId="2A8DB7E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 xml:space="preserve">„Sterowanie oświetleniem w Sali telewizyjnej na parterze i na 4 piętrze należy zrealizować za pomocą systemu DALI, który będzie umożliwiał płynne ściemnianie oświetlenia w zakresie 0-100%. W salach telewizyjnych sterowanie DALI należy zrealizować w oparciu o łącznik ścienny DALI, wyposażony w dwa programowalne przyciski i sterownik </w:t>
      </w:r>
      <w:proofErr w:type="spellStart"/>
      <w:r w:rsidRPr="00BA09CA">
        <w:rPr>
          <w:rFonts w:ascii="Verdana" w:hAnsi="Verdana"/>
          <w:sz w:val="18"/>
          <w:szCs w:val="18"/>
        </w:rPr>
        <w:t>dopuszkowy</w:t>
      </w:r>
      <w:proofErr w:type="spellEnd"/>
      <w:r w:rsidRPr="00BA09CA">
        <w:rPr>
          <w:rFonts w:ascii="Verdana" w:hAnsi="Verdana"/>
          <w:sz w:val="18"/>
          <w:szCs w:val="18"/>
        </w:rPr>
        <w:t>.</w:t>
      </w:r>
    </w:p>
    <w:p w14:paraId="19D517E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lastRenderedPageBreak/>
        <w:t>Szybkie naciśnięcie pierwszego przycisku włączy natychmiast oświetlenie, przytrzymanie przycisku będzie stopniowo rozjaśniać.</w:t>
      </w:r>
    </w:p>
    <w:p w14:paraId="1F038E0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Szybkie naciśnięcie drugiego przycisku wyłączy natychmiast oświetlenie, przytrzymanie przycisku będzie stopniowo ściemniać.”</w:t>
      </w:r>
    </w:p>
    <w:p w14:paraId="666B8AF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</w:p>
    <w:p w14:paraId="49E5DB6F" w14:textId="77777777" w:rsidR="00C44D5D" w:rsidRDefault="00C44D5D" w:rsidP="00C44D5D">
      <w:pPr>
        <w:rPr>
          <w:rFonts w:ascii="Verdana" w:hAnsi="Verdana"/>
          <w:sz w:val="18"/>
          <w:szCs w:val="18"/>
        </w:rPr>
      </w:pPr>
    </w:p>
    <w:p w14:paraId="722DFDDE" w14:textId="77777777" w:rsidR="00C44D5D" w:rsidRDefault="00C44D5D" w:rsidP="00C44D5D">
      <w:pPr>
        <w:rPr>
          <w:rFonts w:ascii="Verdana" w:hAnsi="Verdana"/>
          <w:sz w:val="18"/>
          <w:szCs w:val="18"/>
        </w:rPr>
      </w:pPr>
    </w:p>
    <w:p w14:paraId="31C4CC34" w14:textId="12200A0B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107:</w:t>
      </w:r>
    </w:p>
    <w:p w14:paraId="65DAA9C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centrala monitoringu oświetlenia awaryjnego i wszystkie oprawy mają być jednego systemu? Ile opraw ma być adresowanych?</w:t>
      </w:r>
    </w:p>
    <w:p w14:paraId="713A5C27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66EE3934" w14:textId="5E958648" w:rsidR="00C44D5D" w:rsidRPr="00BA09CA" w:rsidRDefault="00015616" w:rsidP="00C44D5D">
      <w:pPr>
        <w:rPr>
          <w:rFonts w:ascii="Verdana" w:hAnsi="Verdana"/>
          <w:sz w:val="18"/>
          <w:szCs w:val="18"/>
        </w:rPr>
      </w:pPr>
      <w:r w:rsidRPr="00015616">
        <w:rPr>
          <w:rFonts w:ascii="Verdana" w:hAnsi="Verdana"/>
          <w:sz w:val="18"/>
          <w:szCs w:val="18"/>
        </w:rPr>
        <w:t>Zamawiający dopuszcza możliwość zaoferowania centrali monitoringu oświetlenia awaryjnego i opraw różnych producentów, pod warunkiem ich pełnej kompatybilności. Tak, wszystkie oprawy oświetlenia awaryjnego i ewakuacyjnego muszą być adresowalne</w:t>
      </w:r>
      <w:r w:rsidR="00C44D5D" w:rsidRPr="00BA09CA">
        <w:rPr>
          <w:rFonts w:ascii="Verdana" w:hAnsi="Verdana"/>
          <w:sz w:val="18"/>
          <w:szCs w:val="18"/>
        </w:rPr>
        <w:t>.</w:t>
      </w:r>
    </w:p>
    <w:p w14:paraId="3DADEF0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54B79FA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108:</w:t>
      </w:r>
    </w:p>
    <w:p w14:paraId="2375C2A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Jaki wymagany czas autonomii UPS 5000 VA i czy wymagany jest bypass serwisowy, karta SNMP oraz dwa niezależne źródła?</w:t>
      </w:r>
    </w:p>
    <w:p w14:paraId="7F1EF4F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61A88637" w14:textId="190618E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Należy przyjąć 30 minut</w:t>
      </w:r>
      <w:r w:rsidR="00114330">
        <w:rPr>
          <w:rFonts w:ascii="Verdana" w:hAnsi="Verdana"/>
          <w:sz w:val="18"/>
          <w:szCs w:val="18"/>
        </w:rPr>
        <w:t>.</w:t>
      </w:r>
      <w:r w:rsidRPr="00BA09CA">
        <w:rPr>
          <w:rFonts w:ascii="Verdana" w:hAnsi="Verdana"/>
          <w:sz w:val="18"/>
          <w:szCs w:val="18"/>
        </w:rPr>
        <w:t xml:space="preserve"> </w:t>
      </w:r>
      <w:r w:rsidR="00114330" w:rsidRPr="00114330">
        <w:rPr>
          <w:rFonts w:ascii="Verdana" w:hAnsi="Verdana"/>
          <w:sz w:val="18"/>
          <w:szCs w:val="18"/>
        </w:rPr>
        <w:t>Bypass serwisowy nie jest wymagany. N</w:t>
      </w:r>
      <w:r w:rsidRPr="00114330">
        <w:rPr>
          <w:rFonts w:ascii="Verdana" w:hAnsi="Verdana"/>
          <w:sz w:val="18"/>
          <w:szCs w:val="18"/>
        </w:rPr>
        <w:t>ależy</w:t>
      </w:r>
      <w:r w:rsidRPr="00BA09CA">
        <w:rPr>
          <w:rFonts w:ascii="Verdana" w:hAnsi="Verdana"/>
          <w:sz w:val="18"/>
          <w:szCs w:val="18"/>
        </w:rPr>
        <w:t xml:space="preserve"> dostarczyć zasilacz UPS z kartą SNMP. Zasilanie urządzenia UPS należy wykonać z jednego źródła.</w:t>
      </w:r>
    </w:p>
    <w:p w14:paraId="41C9A9E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70884DF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109:</w:t>
      </w:r>
    </w:p>
    <w:p w14:paraId="38242CB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Czy instalacja PV 40,95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kWp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została uwzględniona w uzgodnieniach operatora, PWP, ochronie przepięciowej i bilansie zwarciowym?</w:t>
      </w:r>
    </w:p>
    <w:p w14:paraId="30A25DA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5FEF2F8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Tak.</w:t>
      </w:r>
    </w:p>
    <w:p w14:paraId="4721111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 </w:t>
      </w:r>
    </w:p>
    <w:p w14:paraId="5A9A42F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110:</w:t>
      </w:r>
    </w:p>
    <w:p w14:paraId="6B08488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konstrukcja PV ma być balastowa czy kotwiona i kto dostarcza obliczenia konstrukcyjne oraz projekt szczelności dachu?</w:t>
      </w:r>
    </w:p>
    <w:p w14:paraId="6FD95BC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00A2B2F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Dopuszcza się konstrukcję balastową, obliczenia dostarcza Wykonawca wraz z kartami zatwierdzenia materiałów po wybraniu technologii.</w:t>
      </w:r>
    </w:p>
    <w:p w14:paraId="45A22C7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79915CB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111:</w:t>
      </w:r>
    </w:p>
    <w:p w14:paraId="589F109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91 modułów po min. 450 W mieści się na skoordynowanym dachu po zachowaniu stref serwisowych i odgromowych?</w:t>
      </w:r>
    </w:p>
    <w:p w14:paraId="1F4A539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0175502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Tak.</w:t>
      </w:r>
    </w:p>
    <w:p w14:paraId="5D2DA2F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3AD1D9A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112:</w:t>
      </w:r>
    </w:p>
    <w:p w14:paraId="1F9812D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istniejące przewody odprowadzające i uziemienia DS-5/DS-7 zostały pomierzone oraz czy AGH wyraża zgodę na ich wykorzystanie?</w:t>
      </w:r>
    </w:p>
    <w:p w14:paraId="55A86DB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3985B3C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Należy wykonać nowe uziemienie, ale wykorzystać istniejące przewody odprowadzające. Przewody nie były „pomierzone” na etapie dokumentacji ale są w dobrym stanie technicznym i posiadają aktualne pomiary elektryczne.</w:t>
      </w:r>
    </w:p>
    <w:p w14:paraId="78A6A26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2BB0D54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113:</w:t>
      </w:r>
    </w:p>
    <w:p w14:paraId="39F2136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Kto finansuje naprawę/nadbudowę uziomu, jeżeli pomiary istniejącego systemu będą nieskuteczne?</w:t>
      </w:r>
    </w:p>
    <w:p w14:paraId="2ECF2C9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5CEE7ED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Uziom należy wykonać nowy, zgodnie z dokumentacją.</w:t>
      </w:r>
    </w:p>
    <w:p w14:paraId="07C4C32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2280873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114:</w:t>
      </w:r>
    </w:p>
    <w:p w14:paraId="37D10C9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Prosimy o przekazanie zatwierdzoną matrycę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przyczynowo-skutkową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zgodną z aktualnym scenariuszem pożarowym.</w:t>
      </w:r>
    </w:p>
    <w:p w14:paraId="60CD78A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4599725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Zamawiający udostępnia matrycę sterowań:</w:t>
      </w:r>
    </w:p>
    <w:p w14:paraId="2AC4096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hyperlink r:id="rId7" w:history="1">
        <w:r w:rsidRPr="00BA09CA">
          <w:rPr>
            <w:rStyle w:val="Hipercze"/>
            <w:rFonts w:ascii="Verdana" w:hAnsi="Verdana"/>
            <w:sz w:val="18"/>
            <w:szCs w:val="18"/>
          </w:rPr>
          <w:t>https://miasteczko.agh.edu.pl/docs/dzp/dokumentacja_modernizacja_ds6-matryca_sterowan.pdf</w:t>
        </w:r>
      </w:hyperlink>
    </w:p>
    <w:p w14:paraId="02CD56B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1A8483B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115:</w:t>
      </w:r>
    </w:p>
    <w:p w14:paraId="68BE107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projekt SSP obejmuje dokładnie 7 pętli i czy dostępne są obliczenia obciążenia, prądów i rezerwy każdej pętli?</w:t>
      </w:r>
    </w:p>
    <w:p w14:paraId="32C9D7E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lastRenderedPageBreak/>
        <w:t>Odpowiedź:</w:t>
      </w:r>
    </w:p>
    <w:p w14:paraId="046B952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Zgodnie z dokumentacją. Zamawiający nie dysponuje obliczeniami obciążenia, prądów i rezerwy każdej pętli.</w:t>
      </w:r>
    </w:p>
    <w:p w14:paraId="6BE4C3D5" w14:textId="77777777" w:rsidR="00C44D5D" w:rsidRDefault="00C44D5D" w:rsidP="00C44D5D">
      <w:pPr>
        <w:rPr>
          <w:rFonts w:ascii="Verdana" w:hAnsi="Verdana"/>
          <w:sz w:val="18"/>
          <w:szCs w:val="18"/>
        </w:rPr>
      </w:pPr>
    </w:p>
    <w:p w14:paraId="30C92B07" w14:textId="3D331621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30846D0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116:</w:t>
      </w:r>
    </w:p>
    <w:p w14:paraId="63579C4D" w14:textId="77777777" w:rsidR="00C44D5D" w:rsidRPr="009D0C3D" w:rsidRDefault="00C44D5D" w:rsidP="00C44D5D">
      <w:pPr>
        <w:rPr>
          <w:rFonts w:ascii="Verdana" w:hAnsi="Verdana"/>
          <w:color w:val="FF0000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Dlaczego pętle 6–7 wykonano PH90, a 1–5 B2ca?</w:t>
      </w:r>
      <w:r w:rsidRPr="00114330">
        <w:rPr>
          <w:rFonts w:ascii="Verdana" w:hAnsi="Verdana"/>
          <w:i/>
          <w:iCs/>
          <w:sz w:val="18"/>
          <w:szCs w:val="18"/>
        </w:rPr>
        <w:t>Prosimy o podstawę klasyfikacji tras.</w:t>
      </w:r>
    </w:p>
    <w:p w14:paraId="28DC949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313E36C9" w14:textId="04F15666" w:rsidR="00C44D5D" w:rsidRPr="00BA09CA" w:rsidRDefault="00114330" w:rsidP="00C44D5D">
      <w:pPr>
        <w:rPr>
          <w:rFonts w:ascii="Verdana" w:hAnsi="Verdana"/>
          <w:sz w:val="18"/>
          <w:szCs w:val="18"/>
        </w:rPr>
      </w:pPr>
      <w:r w:rsidRPr="00114330">
        <w:rPr>
          <w:rFonts w:ascii="Verdana" w:hAnsi="Verdana"/>
          <w:sz w:val="18"/>
          <w:szCs w:val="18"/>
        </w:rPr>
        <w:t xml:space="preserve">Pętle czujek i </w:t>
      </w:r>
      <w:proofErr w:type="spellStart"/>
      <w:r w:rsidRPr="00114330">
        <w:rPr>
          <w:rFonts w:ascii="Verdana" w:hAnsi="Verdana"/>
          <w:sz w:val="18"/>
          <w:szCs w:val="18"/>
        </w:rPr>
        <w:t>Ropów</w:t>
      </w:r>
      <w:proofErr w:type="spellEnd"/>
      <w:r w:rsidRPr="00114330">
        <w:rPr>
          <w:rFonts w:ascii="Verdana" w:hAnsi="Verdana"/>
          <w:sz w:val="18"/>
          <w:szCs w:val="18"/>
        </w:rPr>
        <w:t xml:space="preserve"> są wykonane przewodem B2Ca, pętle elementów sterujących przewodem PH90. Dobór typów oraz klas okablowania dla poszczególnych pętli SSP wykonano zgodnie z wymaganiami i zaleceniami zawartymi w Wytycznych projektowania instalacji sygnalizacji pożarowej SITP WP-02:2021 oraz Instrukcji ITB nr 501/2022 opracowanej przez Instytut Techniki Budowlanej. Zgodnie z przyjętymi zasadami pętle dozorowe obejmujące czujki pożarowe i ROP zaprojektowano przewodami o klasie reakcji na ogień B2ca, natomiast obwody/pętle obejmujące elementy realizujące funkcje sterujące urządzeniami przeciwpożarowymi zaprojektowano przewodami o wymaganej odporności ogniowej PH90</w:t>
      </w:r>
      <w:r w:rsidR="00C44D5D" w:rsidRPr="00BA09CA">
        <w:rPr>
          <w:rFonts w:ascii="Verdana" w:hAnsi="Verdana"/>
          <w:sz w:val="18"/>
          <w:szCs w:val="18"/>
        </w:rPr>
        <w:t>.</w:t>
      </w:r>
    </w:p>
    <w:p w14:paraId="5211D46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110F9AC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117:</w:t>
      </w:r>
    </w:p>
    <w:p w14:paraId="1EB10F0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każda klapa ppoż. ma indywidualny monitoring położenia i uszkodzenia, mimo grupowego zasilania do 10 klap?</w:t>
      </w:r>
    </w:p>
    <w:p w14:paraId="750CC46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05D77EF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Tak.</w:t>
      </w:r>
    </w:p>
    <w:p w14:paraId="4B0C465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30F3197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118:</w:t>
      </w:r>
    </w:p>
    <w:p w14:paraId="792514B0" w14:textId="77777777" w:rsidR="00C44D5D" w:rsidRPr="00114330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Prosimy o wskazanie rzeczywiste grupy klap, moce siłowników, lokalizacje zasilaczy 24 V i </w:t>
      </w:r>
      <w:r w:rsidRPr="00114330">
        <w:rPr>
          <w:rFonts w:ascii="Verdana" w:hAnsi="Verdana"/>
          <w:i/>
          <w:iCs/>
          <w:sz w:val="18"/>
          <w:szCs w:val="18"/>
        </w:rPr>
        <w:t>rezerwy prądowe.</w:t>
      </w:r>
    </w:p>
    <w:p w14:paraId="3BD6DB8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3CAFF9DF" w14:textId="7B1E6E43" w:rsidR="00C44D5D" w:rsidRPr="00BA09CA" w:rsidRDefault="00114330" w:rsidP="00C44D5D">
      <w:pPr>
        <w:rPr>
          <w:rFonts w:ascii="Verdana" w:hAnsi="Verdana"/>
          <w:sz w:val="18"/>
          <w:szCs w:val="18"/>
        </w:rPr>
      </w:pPr>
      <w:r w:rsidRPr="00114330">
        <w:rPr>
          <w:rFonts w:ascii="Verdana" w:hAnsi="Verdana"/>
          <w:sz w:val="18"/>
          <w:szCs w:val="18"/>
        </w:rPr>
        <w:t>Grupy klap zostały wskazane na rzutach instalacji. Moce siłowników należy przyjmować zgodnie z projektem instalacji wentylacji oraz dokumentacją techniczną zastosowanych urządzeń. Lokalizacje zasilaczy 24V zostały pokazane na rzutach. Przy doborze zasilaczy uwzględniono sumaryczny pobór prądu przez zasilane siłowniki, w tym pobór prądu podczas ich pracy oraz chwilowe prądy rozruchowe występujące przy jednoczesnym uruchomieniu siłowników w danej grupie. Przyjęta wydajność prądowa zasilaczy uwzględnia również odpowiednią rezerwę umożliwiającą zastosowanie urządzeń równoważnych, których parametry elektryczne mogą różnić się od parametrów urządzeń przyjętych w projekcie</w:t>
      </w:r>
      <w:r w:rsidR="00C44D5D" w:rsidRPr="00BA09CA">
        <w:rPr>
          <w:rFonts w:ascii="Verdana" w:hAnsi="Verdana"/>
          <w:sz w:val="18"/>
          <w:szCs w:val="18"/>
        </w:rPr>
        <w:t>.</w:t>
      </w:r>
    </w:p>
    <w:p w14:paraId="758C22E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1C2527F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119:</w:t>
      </w:r>
    </w:p>
    <w:p w14:paraId="587AA2A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Prosimy o potwierdzenie liczbę i lokalizację okien napowietrzających oraz drzwi napowietrzających na każdej kondygnacji.</w:t>
      </w:r>
    </w:p>
    <w:p w14:paraId="0C9D863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123262C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Potwierdzamy liczbę zgodnie z dokumentacją.</w:t>
      </w:r>
    </w:p>
    <w:p w14:paraId="37B6FCA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02071F5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120:</w:t>
      </w:r>
    </w:p>
    <w:p w14:paraId="6649CE1A" w14:textId="2D1E363D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DSO obejmuje 7 stref i 14 linii A/B?</w:t>
      </w:r>
      <w:r>
        <w:rPr>
          <w:rFonts w:ascii="Verdana" w:hAnsi="Verdana"/>
          <w:i/>
          <w:iCs/>
          <w:sz w:val="18"/>
          <w:szCs w:val="18"/>
        </w:rPr>
        <w:t xml:space="preserve"> </w:t>
      </w:r>
      <w:r w:rsidRPr="00BA09CA">
        <w:rPr>
          <w:rFonts w:ascii="Verdana" w:hAnsi="Verdana"/>
          <w:i/>
          <w:iCs/>
          <w:sz w:val="18"/>
          <w:szCs w:val="18"/>
        </w:rPr>
        <w:t>Prosimy o obliczenia mocy, spadków napięcia i rezerwy wzmacniaczy.</w:t>
      </w:r>
    </w:p>
    <w:p w14:paraId="6F33504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1E9C251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Wyniki przedstawiono w punkcie 2.13 opisu technicznego. Zamawiający nie dysponuje obliczeniami mocy, spadków napięcia i rezerwy wzmacniaczy.</w:t>
      </w:r>
    </w:p>
    <w:p w14:paraId="53D8B98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3C535AB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121:</w:t>
      </w:r>
    </w:p>
    <w:p w14:paraId="64CB3DE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interkom ratunkowy obejmuje dokładnie 4 stacje i gdzie znajduje się centrala/stanowisko obsługi?</w:t>
      </w:r>
    </w:p>
    <w:p w14:paraId="3327EF4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1E13ACB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Tak, interkom ratunkowy obejmuje dokładnie 4 stacje. Lokalizacja zgodnie z punktem 3.1 opisu technicznego.</w:t>
      </w:r>
    </w:p>
    <w:p w14:paraId="666F681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5AFA014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122:</w:t>
      </w:r>
    </w:p>
    <w:p w14:paraId="440F7AA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Jaki czas podtrzymania i sposób monitorowania zasilania interkomu jest wymagany?</w:t>
      </w:r>
    </w:p>
    <w:p w14:paraId="7536F22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57F3BD0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24 godziny pracy systemu w trybie czuwania (brak awarii zasilania AC).</w:t>
      </w:r>
    </w:p>
    <w:p w14:paraId="3CA74B5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3 godziny ciągłej pracy w trybie rozmowy/alarmu po upływie czasu czuwania.</w:t>
      </w:r>
    </w:p>
    <w:p w14:paraId="790269B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Monitorowanie zasilania za pomocą samej centrali (centrala sama nadzoruje zasilanie).</w:t>
      </w:r>
    </w:p>
    <w:p w14:paraId="5A97C89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0BF7A57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123:</w:t>
      </w:r>
    </w:p>
    <w:p w14:paraId="3692E22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lastRenderedPageBreak/>
        <w:t>Czy UTA jest dostarczana przez MS AGH i w jakim terminie? Kto odpowiada za numer telefoniczny, transmisję do PSP i odbiór?</w:t>
      </w:r>
    </w:p>
    <w:p w14:paraId="7915F42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5A4539F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UTA będzie dostarczona przez Zamawiającego w terminie uzgodnionym z Wykonawcą. Za numer telefoniczny, transmisję do PSP i odbiór odpowiada Zamawiający.</w:t>
      </w:r>
    </w:p>
    <w:p w14:paraId="1771EC5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0884D50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124:</w:t>
      </w:r>
    </w:p>
    <w:p w14:paraId="6AECED9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centrala SSP, DSO i urządzenia oddymiania muszą pochodzić od konkretnych producentów ze względu na istniejące standardy AGH?</w:t>
      </w:r>
    </w:p>
    <w:p w14:paraId="166F69C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6ACDFB52" w14:textId="77777777" w:rsidR="00015616" w:rsidRPr="00015616" w:rsidRDefault="00015616" w:rsidP="00015616">
      <w:pPr>
        <w:rPr>
          <w:rFonts w:ascii="Verdana" w:hAnsi="Verdana"/>
          <w:sz w:val="18"/>
          <w:szCs w:val="18"/>
        </w:rPr>
      </w:pPr>
      <w:r w:rsidRPr="00015616">
        <w:rPr>
          <w:rFonts w:ascii="Verdana" w:hAnsi="Verdana"/>
          <w:i/>
          <w:iCs/>
          <w:sz w:val="18"/>
          <w:szCs w:val="18"/>
        </w:rPr>
        <w:t>Centrala SSP, DSO i urządzenia oddymiania mają być ze sobą kompatybilne i muszą spełniać parametry opisane w projekcie wykonawczym INSTALACJE ELEKTRYCZNE I TELETECHNICZNE:</w:t>
      </w:r>
    </w:p>
    <w:p w14:paraId="7043E156" w14:textId="33C76AB6" w:rsidR="00015616" w:rsidRPr="00015616" w:rsidRDefault="00015616" w:rsidP="00015616">
      <w:pPr>
        <w:rPr>
          <w:rFonts w:ascii="Verdana" w:hAnsi="Verdana"/>
          <w:sz w:val="18"/>
          <w:szCs w:val="18"/>
        </w:rPr>
      </w:pPr>
      <w:r w:rsidRPr="00015616">
        <w:rPr>
          <w:rFonts w:ascii="Verdana" w:hAnsi="Verdana"/>
          <w:i/>
          <w:iCs/>
          <w:sz w:val="18"/>
          <w:szCs w:val="18"/>
        </w:rPr>
        <w:t>SSP - punkt 1.5,</w:t>
      </w:r>
      <w:r w:rsidR="00536710">
        <w:rPr>
          <w:rFonts w:ascii="Verdana" w:hAnsi="Verdana"/>
          <w:sz w:val="18"/>
          <w:szCs w:val="18"/>
        </w:rPr>
        <w:t xml:space="preserve"> </w:t>
      </w:r>
      <w:r w:rsidRPr="00015616">
        <w:rPr>
          <w:rFonts w:ascii="Verdana" w:hAnsi="Verdana"/>
          <w:i/>
          <w:iCs/>
          <w:sz w:val="18"/>
          <w:szCs w:val="18"/>
        </w:rPr>
        <w:t>DSO - punkt 2.4,</w:t>
      </w:r>
      <w:r w:rsidR="00536710">
        <w:rPr>
          <w:rFonts w:ascii="Verdana" w:hAnsi="Verdana"/>
          <w:sz w:val="18"/>
          <w:szCs w:val="18"/>
        </w:rPr>
        <w:t xml:space="preserve"> </w:t>
      </w:r>
      <w:r w:rsidRPr="00015616">
        <w:rPr>
          <w:rFonts w:ascii="Verdana" w:hAnsi="Verdana"/>
          <w:i/>
          <w:iCs/>
          <w:sz w:val="18"/>
          <w:szCs w:val="18"/>
        </w:rPr>
        <w:t>oddymianie - punkt 1.10.</w:t>
      </w:r>
    </w:p>
    <w:p w14:paraId="19CD67C7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78130C9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125:</w:t>
      </w:r>
    </w:p>
    <w:p w14:paraId="0DD5F74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opis ES rev.3 jest nadrzędny wobec rzutów ES-01–ES-18 rev.1 i czy wszystkie zmiany rev.3 są naniesione na rzuty ES-19–ES-28?</w:t>
      </w:r>
    </w:p>
    <w:p w14:paraId="709FF28B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4328AA5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Rewizje opisu technicznego należy rozpatrywać odrębnie od rewizji rysunków.</w:t>
      </w:r>
    </w:p>
    <w:p w14:paraId="49997FA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126:</w:t>
      </w:r>
    </w:p>
    <w:p w14:paraId="20C3B58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Prosimy o potwierdzenie komplet wyposażenia szaf GPD1/GPD2: liczbę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switchy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, serwerów, paneli, UPS, baterii, PDU, modułów SFP/DAC i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patchcordów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>.</w:t>
      </w:r>
    </w:p>
    <w:p w14:paraId="2E0E142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 </w:t>
      </w:r>
    </w:p>
    <w:p w14:paraId="6D283EE9" w14:textId="0FDCA641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Zgodnie z dokumentacją. Iloś</w:t>
      </w:r>
      <w:r w:rsidR="009D0C3D">
        <w:rPr>
          <w:rFonts w:ascii="Verdana" w:hAnsi="Verdana"/>
          <w:sz w:val="18"/>
          <w:szCs w:val="18"/>
        </w:rPr>
        <w:t>ci</w:t>
      </w:r>
      <w:r w:rsidRPr="00BA09CA">
        <w:rPr>
          <w:rFonts w:ascii="Verdana" w:hAnsi="Verdana"/>
          <w:sz w:val="18"/>
          <w:szCs w:val="18"/>
        </w:rPr>
        <w:t xml:space="preserve"> zawart</w:t>
      </w:r>
      <w:r w:rsidR="009D0C3D">
        <w:rPr>
          <w:rFonts w:ascii="Verdana" w:hAnsi="Verdana"/>
          <w:sz w:val="18"/>
          <w:szCs w:val="18"/>
        </w:rPr>
        <w:t>e</w:t>
      </w:r>
      <w:r w:rsidRPr="00BA09CA">
        <w:rPr>
          <w:rFonts w:ascii="Verdana" w:hAnsi="Verdana"/>
          <w:sz w:val="18"/>
          <w:szCs w:val="18"/>
        </w:rPr>
        <w:t xml:space="preserve"> w zestawieniu materiałów w Projekt Wykonawczy – Rewizja 3 instalacje słaboprądowe opis.</w:t>
      </w:r>
    </w:p>
    <w:p w14:paraId="14DC4EC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62C7F04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127:</w:t>
      </w:r>
    </w:p>
    <w:p w14:paraId="2B58C907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dwa serwery CCTV na widoku GPD są wymagane, czy jeden serwer '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slave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>' zgodnie z opisem?</w:t>
      </w:r>
    </w:p>
    <w:p w14:paraId="091C7AA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249A552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Jeden serwer zgodnie z opisem.</w:t>
      </w:r>
    </w:p>
    <w:p w14:paraId="318485D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440E854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128:</w:t>
      </w:r>
    </w:p>
    <w:p w14:paraId="7C1CEE2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Prosimy o podanie liczbę kamer nowych i istniejących objętych serwerem oraz wymaganą liczbę licencji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Milestone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XProtect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Expert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>.</w:t>
      </w:r>
    </w:p>
    <w:p w14:paraId="7976829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 </w:t>
      </w:r>
    </w:p>
    <w:p w14:paraId="5943A2F5" w14:textId="068370D2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Zgodnie z dokumentacją i zestawieniem materiałowym. Wszystkie nowe kamery należy dostarczyć z licencjami. Iloś</w:t>
      </w:r>
      <w:r w:rsidR="009D0C3D">
        <w:rPr>
          <w:rFonts w:ascii="Verdana" w:hAnsi="Verdana"/>
          <w:sz w:val="18"/>
          <w:szCs w:val="18"/>
        </w:rPr>
        <w:t>ci</w:t>
      </w:r>
      <w:r w:rsidRPr="00BA09CA">
        <w:rPr>
          <w:rFonts w:ascii="Verdana" w:hAnsi="Verdana"/>
          <w:sz w:val="18"/>
          <w:szCs w:val="18"/>
        </w:rPr>
        <w:t xml:space="preserve"> zawart</w:t>
      </w:r>
      <w:r w:rsidR="009D0C3D">
        <w:rPr>
          <w:rFonts w:ascii="Verdana" w:hAnsi="Verdana"/>
          <w:sz w:val="18"/>
          <w:szCs w:val="18"/>
        </w:rPr>
        <w:t>e są</w:t>
      </w:r>
      <w:r w:rsidRPr="00BA09CA">
        <w:rPr>
          <w:rFonts w:ascii="Verdana" w:hAnsi="Verdana"/>
          <w:sz w:val="18"/>
          <w:szCs w:val="18"/>
        </w:rPr>
        <w:t xml:space="preserve"> w zestawieniu materiałów w Projekt Wykonawczy – Rewizja 3 instalacje słaboprądowe opis.</w:t>
      </w:r>
    </w:p>
    <w:p w14:paraId="12CF782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3C425B1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129:</w:t>
      </w:r>
    </w:p>
    <w:p w14:paraId="58AE890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Prosimy o przedstawienie obliczenie przestrzeni dyskowej dla 30 dni, 25 kl./s, rzeczywistych rozdzielczości i RAID5.</w:t>
      </w:r>
    </w:p>
    <w:p w14:paraId="127D30B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1BD2D571" w14:textId="2A3A1C5E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Zamawiający nie dysponuje przedmiotowymi obliczeniami.</w:t>
      </w:r>
    </w:p>
    <w:p w14:paraId="0252FE4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44F1ECC5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130:</w:t>
      </w:r>
    </w:p>
    <w:p w14:paraId="10150887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wymagana jest rejestracja ciągła czy detekcja ruchu i jakie są wymagania retencji prawnej/RODO?</w:t>
      </w:r>
    </w:p>
    <w:p w14:paraId="7C5D156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  <w:r w:rsidRPr="00BA09CA">
        <w:rPr>
          <w:rFonts w:ascii="Verdana" w:hAnsi="Verdana"/>
          <w:sz w:val="18"/>
          <w:szCs w:val="18"/>
        </w:rPr>
        <w:t> </w:t>
      </w:r>
    </w:p>
    <w:p w14:paraId="1A0A0DF8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Zgodnie z dokumentacją - Projekt Wykonawczy – Rewizja 3 instalacje słaboprądowe opis poz. 3,16. Rejestracja ciągła, 30 dni.</w:t>
      </w:r>
    </w:p>
    <w:p w14:paraId="19AAB4A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44E10C0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131:</w:t>
      </w:r>
    </w:p>
    <w:p w14:paraId="0896A26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Prosimy o podanie bilans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PoE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wszystkich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switchy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 xml:space="preserve"> dla kamer, AP, kontroli dostępu i urządzeń pomocniczych.</w:t>
      </w:r>
    </w:p>
    <w:p w14:paraId="047AE94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7A53369B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Zamawiający nie dysponuje przedmiotowym bilansem.</w:t>
      </w:r>
    </w:p>
    <w:p w14:paraId="03639A0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1F19B69F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132:</w:t>
      </w:r>
    </w:p>
    <w:p w14:paraId="387FB9B2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Jaki wymagany czas autonomii UPS dla sprzętu IT/CCTV i które urządzenia mają być podłączone do UPS?</w:t>
      </w:r>
    </w:p>
    <w:p w14:paraId="01A53EE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3B6BA526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Zgodnie z dokumentacją - czas autonomii UPS dla sprzętu IT/CCTV wynosi 30 min.</w:t>
      </w:r>
    </w:p>
    <w:p w14:paraId="2BAB6C3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Zgodnie z dokumentacją - do UPS ma być podłączony cały sprzęt sieciowy, CCTV i telefoniczny.</w:t>
      </w:r>
    </w:p>
    <w:p w14:paraId="37B33FB0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lastRenderedPageBreak/>
        <w:t> </w:t>
      </w:r>
    </w:p>
    <w:p w14:paraId="729F259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133:</w:t>
      </w:r>
    </w:p>
    <w:p w14:paraId="5E7300B4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Czy istniejąca infrastruktura światłowodowa DS-5/DS-7/Centrum Monitoringu została zinwentaryzowana, pomierzona i oznaczona?</w:t>
      </w:r>
    </w:p>
    <w:p w14:paraId="72F63B69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6B5223D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Tak.</w:t>
      </w:r>
    </w:p>
    <w:p w14:paraId="2B7A91D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18391A8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134:</w:t>
      </w:r>
    </w:p>
    <w:p w14:paraId="61BC7753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>Prosimy o zatwierdzenie plan migracji aktywnej szafy CCTV i światłowodów z piwnicy do serwerowni na 2. piętrze.</w:t>
      </w:r>
    </w:p>
    <w:p w14:paraId="61E9A975" w14:textId="12BDDCBF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5C16C8B1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Plan migracji należy opracować i przedstawić do zatwierdzenia na etapie realizacji. </w:t>
      </w:r>
    </w:p>
    <w:p w14:paraId="1741840C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 </w:t>
      </w:r>
    </w:p>
    <w:p w14:paraId="47737A0E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Pytanie 135:</w:t>
      </w:r>
    </w:p>
    <w:p w14:paraId="077DD2D3" w14:textId="2552ADFF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i/>
          <w:iCs/>
          <w:sz w:val="18"/>
          <w:szCs w:val="18"/>
        </w:rPr>
        <w:t xml:space="preserve">Czy wymagane moduły SFP/SFP+, DAC i optyka muszą być producenta </w:t>
      </w:r>
      <w:proofErr w:type="spellStart"/>
      <w:r w:rsidRPr="00BA09CA">
        <w:rPr>
          <w:rFonts w:ascii="Verdana" w:hAnsi="Verdana"/>
          <w:i/>
          <w:iCs/>
          <w:sz w:val="18"/>
          <w:szCs w:val="18"/>
        </w:rPr>
        <w:t>switchy</w:t>
      </w:r>
      <w:proofErr w:type="spellEnd"/>
      <w:r w:rsidRPr="00BA09CA">
        <w:rPr>
          <w:rFonts w:ascii="Verdana" w:hAnsi="Verdana"/>
          <w:i/>
          <w:iCs/>
          <w:sz w:val="18"/>
          <w:szCs w:val="18"/>
        </w:rPr>
        <w:t>, czy dopuszcza się kompatybilne?</w:t>
      </w:r>
    </w:p>
    <w:p w14:paraId="010DAF9D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b/>
          <w:bCs/>
          <w:sz w:val="18"/>
          <w:szCs w:val="18"/>
        </w:rPr>
        <w:t>Odpowiedź:</w:t>
      </w:r>
    </w:p>
    <w:p w14:paraId="0516CE0A" w14:textId="77777777" w:rsidR="00C44D5D" w:rsidRPr="00BA09CA" w:rsidRDefault="00C44D5D" w:rsidP="00C44D5D">
      <w:pPr>
        <w:rPr>
          <w:rFonts w:ascii="Verdana" w:hAnsi="Verdana"/>
          <w:sz w:val="18"/>
          <w:szCs w:val="18"/>
        </w:rPr>
      </w:pPr>
      <w:r w:rsidRPr="00BA09CA">
        <w:rPr>
          <w:rFonts w:ascii="Verdana" w:hAnsi="Verdana"/>
          <w:sz w:val="18"/>
          <w:szCs w:val="18"/>
        </w:rPr>
        <w:t>Dopuszcza się kompatybilne pod warunkiem pełnej ich kompatybilności po podłączeniu i uruchomieniu.</w:t>
      </w:r>
    </w:p>
    <w:p w14:paraId="60F3EE3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136:</w:t>
      </w:r>
    </w:p>
    <w:p w14:paraId="0906D90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łączną liczbę gniazd RJ45/RJ11 i kabli z ES-26 względem rzutów ES-19–ES-24.</w:t>
      </w:r>
    </w:p>
    <w:p w14:paraId="66C1811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8833AF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 – zgodnie z dokumentacją i zestawieniem materiałowym.</w:t>
      </w:r>
    </w:p>
    <w:p w14:paraId="4D7A9C4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3CA3B9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137:</w:t>
      </w:r>
    </w:p>
    <w:p w14:paraId="305DDE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Dlaczego gniazda RJ11 są zasilane kablem kat.6A, podczas gdy opis telefonii wspomina RJ11 kat.3?</w:t>
      </w:r>
    </w:p>
    <w:p w14:paraId="1C2D1CF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9BD8C2C" w14:textId="22CBB49F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Należy ułożyć okablowanie </w:t>
      </w:r>
      <w:r w:rsidR="00114330" w:rsidRPr="00114330">
        <w:rPr>
          <w:rFonts w:ascii="Verdana" w:eastAsia="Calibri" w:hAnsi="Verdana"/>
          <w:sz w:val="18"/>
          <w:szCs w:val="18"/>
        </w:rPr>
        <w:t>RJ11 kat.6A</w:t>
      </w:r>
      <w:r w:rsidRPr="00114330">
        <w:rPr>
          <w:rFonts w:ascii="Verdana" w:eastAsia="Calibri" w:hAnsi="Verdana"/>
          <w:sz w:val="18"/>
          <w:szCs w:val="18"/>
        </w:rPr>
        <w:t>.</w:t>
      </w:r>
      <w:r w:rsidRPr="00687F8E">
        <w:rPr>
          <w:rFonts w:ascii="Verdana" w:eastAsia="Calibri" w:hAnsi="Verdana"/>
          <w:sz w:val="18"/>
          <w:szCs w:val="18"/>
        </w:rPr>
        <w:t xml:space="preserve"> Zakłada się możliwość przejścia na inny system w przyszłości.</w:t>
      </w:r>
    </w:p>
    <w:p w14:paraId="47B7364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AAAD1E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138:</w:t>
      </w:r>
    </w:p>
    <w:p w14:paraId="66448CD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wszystkie licencje, wsparcie producenta, gwarancja systemowa i szkolenia są w cenie oraz na jaki okres?</w:t>
      </w:r>
    </w:p>
    <w:p w14:paraId="6EDD390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7E2931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należy wycenić wszystkie licencje, wsparcie producenta, gwarancję systemową i szkolenia użytkowników. Okres licencji zgodnie z dokumentacją.</w:t>
      </w:r>
    </w:p>
    <w:p w14:paraId="0A31E4C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723413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139:</w:t>
      </w:r>
    </w:p>
    <w:p w14:paraId="5E89FCC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wymagane są dwie dodatkowe sztuki przełączników jako zapas magazynowy i z jakim wyposażeniem?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6EB231C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52DA6C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przełączniki opisano w punkcie 1.5.18 a moduły do nich w 1.5.19.</w:t>
      </w:r>
    </w:p>
    <w:p w14:paraId="0364967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4EBEE4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140:</w:t>
      </w:r>
    </w:p>
    <w:p w14:paraId="2A1FE37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istniejąca kanalizacja teletechniczna do słupów jest drożna i ma wolne miejsce?</w:t>
      </w:r>
    </w:p>
    <w:p w14:paraId="2467353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6721E2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2FCAD5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jest drożna i ma wolne miejsce.</w:t>
      </w:r>
    </w:p>
    <w:p w14:paraId="3291D7C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00F3DC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141:</w:t>
      </w:r>
    </w:p>
    <w:p w14:paraId="03C2591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podanie długości tras zewnętrznych, typ rur, głębokość, oznakowanie, studnie i zabezpieczenia przepięciowe dla UTP/światłowodu/230 V.</w:t>
      </w:r>
    </w:p>
    <w:p w14:paraId="51E0474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41B680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Długości tras zewnętrznych, typ rur pokazano w dokumentacji. Nie projektuje się studni. Brak zabezpieczeń przepięciowych dla UTP i 230V.</w:t>
      </w:r>
    </w:p>
    <w:p w14:paraId="4A72AA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BFD7E4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142:</w:t>
      </w:r>
    </w:p>
    <w:p w14:paraId="36E17BB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Czy istniejące słupy oświetleniowe/kamerowe mają potwierdzoną nośność dla nowych kamer i szafek?</w:t>
      </w:r>
    </w:p>
    <w:p w14:paraId="0354489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370ACC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Tak.</w:t>
      </w:r>
    </w:p>
    <w:p w14:paraId="24A140C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6A4CB7E4" w14:textId="5FA0423F" w:rsidR="00687F8E" w:rsidRPr="00556219" w:rsidRDefault="00556219" w:rsidP="00687F8E">
      <w:pPr>
        <w:rPr>
          <w:rFonts w:ascii="Verdana" w:eastAsia="Calibri" w:hAnsi="Verdana"/>
          <w:sz w:val="18"/>
          <w:szCs w:val="18"/>
        </w:rPr>
      </w:pPr>
      <w:r w:rsidRPr="00556219">
        <w:rPr>
          <w:rFonts w:ascii="Verdana" w:eastAsia="Calibri" w:hAnsi="Verdana"/>
          <w:b/>
          <w:bCs/>
          <w:sz w:val="18"/>
          <w:szCs w:val="18"/>
        </w:rPr>
        <w:lastRenderedPageBreak/>
        <w:t>Pytanie 143: </w:t>
      </w:r>
      <w:r w:rsidRPr="00556219">
        <w:rPr>
          <w:rFonts w:ascii="Verdana" w:eastAsia="Calibri" w:hAnsi="Verdana"/>
          <w:b/>
          <w:bCs/>
          <w:sz w:val="18"/>
          <w:szCs w:val="18"/>
        </w:rPr>
        <w:br/>
      </w:r>
      <w:r w:rsidRPr="00556219">
        <w:rPr>
          <w:rFonts w:ascii="Verdana" w:eastAsia="Calibri" w:hAnsi="Verdana"/>
          <w:sz w:val="18"/>
          <w:szCs w:val="18"/>
        </w:rPr>
        <w:t>Czy Zamawiający dopuści wariant stolarki z parametrami funkcjonalnymi zamiast wskazania konkretnego systemu/profilu?</w:t>
      </w:r>
      <w:r w:rsidRPr="00556219">
        <w:rPr>
          <w:rFonts w:ascii="Verdana" w:eastAsia="Calibri" w:hAnsi="Verdana"/>
          <w:sz w:val="18"/>
          <w:szCs w:val="18"/>
        </w:rPr>
        <w:br/>
      </w:r>
      <w:r w:rsidRPr="00556219">
        <w:rPr>
          <w:rFonts w:ascii="Verdana" w:eastAsia="Calibri" w:hAnsi="Verdana"/>
          <w:b/>
          <w:bCs/>
          <w:sz w:val="18"/>
          <w:szCs w:val="18"/>
        </w:rPr>
        <w:t>Odpowiedź:</w:t>
      </w:r>
      <w:r w:rsidRPr="00556219">
        <w:rPr>
          <w:rFonts w:ascii="Verdana" w:eastAsia="Calibri" w:hAnsi="Verdana"/>
          <w:b/>
          <w:bCs/>
          <w:sz w:val="18"/>
          <w:szCs w:val="18"/>
        </w:rPr>
        <w:br/>
      </w:r>
      <w:r>
        <w:rPr>
          <w:rFonts w:ascii="Verdana" w:eastAsia="Calibri" w:hAnsi="Verdana"/>
          <w:sz w:val="18"/>
          <w:szCs w:val="18"/>
        </w:rPr>
        <w:t>Stolarka ma być z</w:t>
      </w:r>
      <w:r w:rsidRPr="00556219">
        <w:rPr>
          <w:rFonts w:ascii="Verdana" w:eastAsia="Calibri" w:hAnsi="Verdana"/>
          <w:sz w:val="18"/>
          <w:szCs w:val="18"/>
        </w:rPr>
        <w:t>godn</w:t>
      </w:r>
      <w:r>
        <w:rPr>
          <w:rFonts w:ascii="Verdana" w:eastAsia="Calibri" w:hAnsi="Verdana"/>
          <w:sz w:val="18"/>
          <w:szCs w:val="18"/>
        </w:rPr>
        <w:t>a</w:t>
      </w:r>
      <w:r w:rsidRPr="00556219">
        <w:rPr>
          <w:rFonts w:ascii="Verdana" w:eastAsia="Calibri" w:hAnsi="Verdana"/>
          <w:sz w:val="18"/>
          <w:szCs w:val="18"/>
        </w:rPr>
        <w:t xml:space="preserve"> z dokumentacją projektową. Zamawiający nie dopuszcza zmiany. </w:t>
      </w:r>
      <w:r w:rsidRPr="00556219">
        <w:rPr>
          <w:rFonts w:ascii="Verdana" w:eastAsia="Calibri" w:hAnsi="Verdana"/>
          <w:sz w:val="18"/>
          <w:szCs w:val="18"/>
        </w:rPr>
        <w:br/>
      </w:r>
      <w:r w:rsidRPr="00556219">
        <w:rPr>
          <w:rFonts w:ascii="Verdana" w:eastAsia="Calibri" w:hAnsi="Verdana"/>
          <w:b/>
          <w:bCs/>
          <w:sz w:val="18"/>
          <w:szCs w:val="18"/>
        </w:rPr>
        <w:t> </w:t>
      </w:r>
      <w:r w:rsidRPr="00556219">
        <w:rPr>
          <w:rFonts w:ascii="Verdana" w:eastAsia="Calibri" w:hAnsi="Verdana"/>
          <w:b/>
          <w:bCs/>
          <w:sz w:val="18"/>
          <w:szCs w:val="18"/>
        </w:rPr>
        <w:br/>
        <w:t>Pytanie 144:</w:t>
      </w:r>
      <w:r w:rsidRPr="00556219">
        <w:rPr>
          <w:rFonts w:ascii="Verdana" w:eastAsia="Calibri" w:hAnsi="Verdana"/>
          <w:b/>
          <w:bCs/>
          <w:sz w:val="18"/>
          <w:szCs w:val="18"/>
        </w:rPr>
        <w:br/>
      </w:r>
      <w:r w:rsidRPr="00556219">
        <w:rPr>
          <w:rFonts w:ascii="Verdana" w:eastAsia="Calibri" w:hAnsi="Verdana"/>
          <w:sz w:val="18"/>
          <w:szCs w:val="18"/>
        </w:rPr>
        <w:t>Czy dopuszcza się stal ocynkowaną zamiast nierdzewnej 316L dla elementów rowerowni nieeksponowanych na środowisko agresywne?</w:t>
      </w:r>
      <w:r w:rsidRPr="00556219">
        <w:rPr>
          <w:rFonts w:ascii="Verdana" w:eastAsia="Calibri" w:hAnsi="Verdana"/>
          <w:b/>
          <w:bCs/>
          <w:sz w:val="18"/>
          <w:szCs w:val="18"/>
        </w:rPr>
        <w:br/>
        <w:t>Odpowiedź: </w:t>
      </w:r>
      <w:r w:rsidRPr="00556219">
        <w:rPr>
          <w:rFonts w:ascii="Verdana" w:eastAsia="Calibri" w:hAnsi="Verdana"/>
          <w:b/>
          <w:bCs/>
          <w:sz w:val="18"/>
          <w:szCs w:val="18"/>
        </w:rPr>
        <w:br/>
      </w:r>
      <w:r w:rsidRPr="00556219">
        <w:rPr>
          <w:rFonts w:ascii="Verdana" w:eastAsia="Calibri" w:hAnsi="Verdana"/>
          <w:sz w:val="18"/>
          <w:szCs w:val="18"/>
        </w:rPr>
        <w:t>Zamawiający nie wyraża zgody na stal ocynkowaną, musi być stal nierdzewna.</w:t>
      </w:r>
    </w:p>
    <w:p w14:paraId="69A52D5F" w14:textId="77777777" w:rsidR="00556219" w:rsidRDefault="00556219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1C37A369" w14:textId="221A6519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145:</w:t>
      </w:r>
    </w:p>
    <w:p w14:paraId="1D84B71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dopuszcza się racjonalizację liczby kontaktronów okiennych do jednego na skrzydło otwierane?</w:t>
      </w:r>
    </w:p>
    <w:p w14:paraId="077156F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222C2A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Zaprojektowano jeden </w:t>
      </w:r>
      <w:proofErr w:type="spellStart"/>
      <w:r w:rsidRPr="00687F8E">
        <w:rPr>
          <w:rFonts w:ascii="Verdana" w:eastAsia="Calibri" w:hAnsi="Verdana"/>
          <w:sz w:val="18"/>
          <w:szCs w:val="18"/>
        </w:rPr>
        <w:t>kontrakton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na jedno skrzydło otwierane.</w:t>
      </w:r>
    </w:p>
    <w:p w14:paraId="2A92A15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64364A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146:</w:t>
      </w:r>
    </w:p>
    <w:p w14:paraId="727A799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dopuszcza się ujednolicenie formatów płytek, wykładzin i kolorów między pomieszczeniami?</w:t>
      </w:r>
    </w:p>
    <w:p w14:paraId="5F989FC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D35849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nie dopuszcza ujednolicenia formatów płytek, wykładzin i kolorów między pomieszczeniami. Dla każdego pomieszczenia płytki i wykładziny należy wykonać zgodnie z projektem.</w:t>
      </w:r>
    </w:p>
    <w:p w14:paraId="092D11D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1113AC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147:</w:t>
      </w:r>
    </w:p>
    <w:p w14:paraId="2D095C9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dopuszcza się zamianę żużla wielkopiecowego w podbudowie na lokalnie dostępne kruszywo o potwierdzonych parametrach?</w:t>
      </w:r>
    </w:p>
    <w:p w14:paraId="5B327E7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B2BC65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dopuszcza zamianę żużla wielkopiecowego na kruszywo naturalne/łamane o równoważnych parametrach.</w:t>
      </w:r>
    </w:p>
    <w:p w14:paraId="19641F1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10A87E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148:</w:t>
      </w:r>
    </w:p>
    <w:p w14:paraId="7C0BB59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Czy Zamawiający dopuści jeden zintegrowany standard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switchy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, UPS, monitoringu i optyki zamiast wielu marek referencyjnych?</w:t>
      </w:r>
    </w:p>
    <w:p w14:paraId="6842C03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3D5E88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Zamawiający dopuści jeden zintegrowany standard </w:t>
      </w:r>
      <w:proofErr w:type="spellStart"/>
      <w:r w:rsidRPr="00687F8E">
        <w:rPr>
          <w:rFonts w:ascii="Verdana" w:eastAsia="Calibri" w:hAnsi="Verdana"/>
          <w:sz w:val="18"/>
          <w:szCs w:val="18"/>
        </w:rPr>
        <w:t>switchy</w:t>
      </w:r>
      <w:proofErr w:type="spellEnd"/>
      <w:r w:rsidRPr="00687F8E">
        <w:rPr>
          <w:rFonts w:ascii="Verdana" w:eastAsia="Calibri" w:hAnsi="Verdana"/>
          <w:sz w:val="18"/>
          <w:szCs w:val="18"/>
        </w:rPr>
        <w:t>, UPS, monitoringu i optyki pod warunkiem spełniania przez każdy z tych elementów parametrów wskazanych w dokumentacji oraz ich wzajemnej kompatybilności. Zaoferowane urządzenia muszą mieć wsparcie producenta (nie mogą znajdować się na liście End of Life producenta).</w:t>
      </w:r>
    </w:p>
    <w:p w14:paraId="20478E3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427ACC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149:</w:t>
      </w:r>
    </w:p>
    <w:p w14:paraId="311BE4C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można zoptymalizować liczbę wzmacniaczy DSO po zatwierdzonych obliczeniach obciążenia i tras?</w:t>
      </w:r>
    </w:p>
    <w:p w14:paraId="1624464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8A94DD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Po przedstawieniu obliczeń obciążenia i kart materiałowych Zamawiający zweryfikuje poprawność przedstawionego rozwiązania.</w:t>
      </w:r>
    </w:p>
    <w:p w14:paraId="621CEDF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AE26FB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150:</w:t>
      </w:r>
    </w:p>
    <w:p w14:paraId="2BE51F9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konstrukcję PV można dobrać jako balastową bez penetracji dachu, jeśli konstruktor potwierdzi nośność?</w:t>
      </w:r>
    </w:p>
    <w:p w14:paraId="0FF9C8B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C95B45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dopuszcza takie rozwiązanie.</w:t>
      </w:r>
    </w:p>
    <w:p w14:paraId="1633B59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8C90DE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151:</w:t>
      </w:r>
    </w:p>
    <w:p w14:paraId="3426764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Czy można ujednolicić producenta systemów ppoż. przejść i obudów w celu uzyskania jednej gwarancji i dokumentacji?</w:t>
      </w:r>
    </w:p>
    <w:p w14:paraId="4293B60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7BB85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można ujednolicić producenta systemów przejść przeciwpożarowych oraz obudów przeciwpożarowych.</w:t>
      </w:r>
    </w:p>
    <w:p w14:paraId="2FF6F6B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06335A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152:</w:t>
      </w:r>
    </w:p>
    <w:p w14:paraId="690E0E7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instalacja RTV ma obsługiwać wyłącznie telewizję naziemną i radio UKF-FM, czy również telewizję satelitarną, mimo pokazania anteny satelitarnej na schemacie ES-29.</w:t>
      </w:r>
    </w:p>
    <w:p w14:paraId="5B4E2AB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lastRenderedPageBreak/>
        <w:t>Odpowiedź:</w:t>
      </w:r>
    </w:p>
    <w:p w14:paraId="60CAC5B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Instalacja RTV ma obsługiwać także telewizję satelitarną.</w:t>
      </w:r>
    </w:p>
    <w:p w14:paraId="5E0FDFA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203481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153:</w:t>
      </w:r>
    </w:p>
    <w:p w14:paraId="72F2101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liczby, typów i lokalizacji gniazd RTV/SAT oraz potwierdzenie ich zgodności z rzutami architektury i wyposażenia.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4B6146B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DE278A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Liczba i typy gniazd zgodnie z dokumentacją projektową (zestawienie materiałowe) a także ich lokalizacja (rzuty).</w:t>
      </w:r>
    </w:p>
    <w:p w14:paraId="243C666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C316A7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154:</w:t>
      </w:r>
    </w:p>
    <w:p w14:paraId="4ECD2F8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skrzynki TT1, TT2 i TT3 wraz z pełnym wyposażeniem biernym i miejscem montażu należą do zakresu Wykonawcy.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0A5ADB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F05B3C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Tak.</w:t>
      </w:r>
    </w:p>
    <w:p w14:paraId="78CF780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A3D1D2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155:</w:t>
      </w:r>
    </w:p>
    <w:p w14:paraId="2594556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wymaganych pomiarów odbiorczych instalacji RTV oraz minimalnych dopuszczalnych poziomów i jakości sygnału w gniazdach.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469C5FE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816F4F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Pomiary należy wykonać w każdym gnieździe abonenckim RTV dla całego pasma, opierając się na normie PN-EN 60728 oraz wytycznych Ministerstwa Infrastruktury dla naziemnej telewizji cyfrowej DVB-T2/HEVC i radia DAB+/FM. Sprawdzenie ciągłości toru i tłumienia linii w całym zakresie częstotliwości (pasma VHF, UHF, SAT/FI, FM/DAB). Weryfikacja parametrów cyfrowych: poziomu mocy sygnału, współczynnika błędu modulacji (MER) oraz bitowej stopy błędów (BER).</w:t>
      </w:r>
    </w:p>
    <w:p w14:paraId="23C03A0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Minimalne i dopuszczalne parametry sygnału w gniazdach</w:t>
      </w:r>
    </w:p>
    <w:p w14:paraId="207E6B38" w14:textId="77777777" w:rsidR="00687F8E" w:rsidRPr="00687F8E" w:rsidRDefault="00687F8E" w:rsidP="00687F8E">
      <w:pPr>
        <w:numPr>
          <w:ilvl w:val="0"/>
          <w:numId w:val="10"/>
        </w:numPr>
        <w:ind w:left="0" w:firstLine="18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Telewizja naziemna (DVB-T2):</w:t>
      </w:r>
    </w:p>
    <w:p w14:paraId="2CE40CED" w14:textId="77777777" w:rsidR="00687F8E" w:rsidRPr="00687F8E" w:rsidRDefault="00687F8E" w:rsidP="00687F8E">
      <w:pPr>
        <w:numPr>
          <w:ilvl w:val="1"/>
          <w:numId w:val="10"/>
        </w:numPr>
        <w:ind w:left="0" w:firstLine="72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Poziom sygnału: od 48 </w:t>
      </w:r>
      <w:proofErr w:type="spellStart"/>
      <w:r w:rsidRPr="00687F8E">
        <w:rPr>
          <w:rFonts w:ascii="Verdana" w:eastAsia="Calibri" w:hAnsi="Verdana"/>
          <w:sz w:val="18"/>
          <w:szCs w:val="18"/>
        </w:rPr>
        <w:t>dBµV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do 74 </w:t>
      </w:r>
      <w:proofErr w:type="spellStart"/>
      <w:r w:rsidRPr="00687F8E">
        <w:rPr>
          <w:rFonts w:ascii="Verdana" w:eastAsia="Calibri" w:hAnsi="Verdana"/>
          <w:sz w:val="18"/>
          <w:szCs w:val="18"/>
        </w:rPr>
        <w:t>dBµV</w:t>
      </w:r>
      <w:proofErr w:type="spellEnd"/>
      <w:r w:rsidRPr="00687F8E">
        <w:rPr>
          <w:rFonts w:ascii="Verdana" w:eastAsia="Calibri" w:hAnsi="Verdana"/>
          <w:sz w:val="18"/>
          <w:szCs w:val="18"/>
        </w:rPr>
        <w:t>.</w:t>
      </w:r>
    </w:p>
    <w:p w14:paraId="43D0A1CF" w14:textId="77777777" w:rsidR="00687F8E" w:rsidRPr="00687F8E" w:rsidRDefault="00687F8E" w:rsidP="00687F8E">
      <w:pPr>
        <w:numPr>
          <w:ilvl w:val="1"/>
          <w:numId w:val="10"/>
        </w:numPr>
        <w:ind w:left="0" w:firstLine="72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Jakość MER: &gt; 26 </w:t>
      </w:r>
      <w:proofErr w:type="spellStart"/>
      <w:r w:rsidRPr="00687F8E">
        <w:rPr>
          <w:rFonts w:ascii="Verdana" w:eastAsia="Calibri" w:hAnsi="Verdana"/>
          <w:sz w:val="18"/>
          <w:szCs w:val="18"/>
        </w:rPr>
        <w:t>dB</w:t>
      </w:r>
      <w:proofErr w:type="spellEnd"/>
      <w:r w:rsidRPr="00687F8E">
        <w:rPr>
          <w:rFonts w:ascii="Verdana" w:eastAsia="Calibri" w:hAnsi="Verdana"/>
          <w:sz w:val="18"/>
          <w:szCs w:val="18"/>
        </w:rPr>
        <w:t>.</w:t>
      </w:r>
    </w:p>
    <w:p w14:paraId="35DC6781" w14:textId="77777777" w:rsidR="00687F8E" w:rsidRPr="00687F8E" w:rsidRDefault="00687F8E" w:rsidP="00687F8E">
      <w:pPr>
        <w:numPr>
          <w:ilvl w:val="1"/>
          <w:numId w:val="10"/>
        </w:numPr>
        <w:ind w:left="0" w:firstLine="72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Bitowa stopa błędów (BER) przed korekcją: \(\le 2 \</w:t>
      </w:r>
      <w:proofErr w:type="spellStart"/>
      <w:r w:rsidRPr="00687F8E">
        <w:rPr>
          <w:rFonts w:ascii="Verdana" w:eastAsia="Calibri" w:hAnsi="Verdana"/>
          <w:sz w:val="18"/>
          <w:szCs w:val="18"/>
        </w:rPr>
        <w:t>cdot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10^{-4}\).</w:t>
      </w:r>
    </w:p>
    <w:p w14:paraId="637B8984" w14:textId="77777777" w:rsidR="00687F8E" w:rsidRPr="00687F8E" w:rsidRDefault="00687F8E" w:rsidP="00687F8E">
      <w:pPr>
        <w:numPr>
          <w:ilvl w:val="0"/>
          <w:numId w:val="10"/>
        </w:numPr>
        <w:ind w:left="0" w:firstLine="18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Radiofonia (FM / DAB+):</w:t>
      </w:r>
    </w:p>
    <w:p w14:paraId="15577C00" w14:textId="77777777" w:rsidR="00687F8E" w:rsidRPr="00687F8E" w:rsidRDefault="00687F8E" w:rsidP="00687F8E">
      <w:pPr>
        <w:numPr>
          <w:ilvl w:val="1"/>
          <w:numId w:val="10"/>
        </w:numPr>
        <w:ind w:left="0" w:firstLine="72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Zgodnie z dobrymi praktykami dla instalacji zbiorczych (stabilny odbiornik, brak przesterowań).</w:t>
      </w:r>
    </w:p>
    <w:p w14:paraId="583CC6D1" w14:textId="77777777" w:rsidR="00687F8E" w:rsidRPr="00687F8E" w:rsidRDefault="00687F8E" w:rsidP="00687F8E">
      <w:pPr>
        <w:numPr>
          <w:ilvl w:val="0"/>
          <w:numId w:val="10"/>
        </w:numPr>
        <w:ind w:left="0" w:firstLine="18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Różnica poziomów pomiędzy gniazdami:</w:t>
      </w:r>
    </w:p>
    <w:p w14:paraId="2EA43052" w14:textId="77777777" w:rsidR="00687F8E" w:rsidRPr="00687F8E" w:rsidRDefault="00687F8E" w:rsidP="00687F8E">
      <w:pPr>
        <w:numPr>
          <w:ilvl w:val="1"/>
          <w:numId w:val="10"/>
        </w:numPr>
        <w:ind w:left="0" w:firstLine="72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W całym pasmie nie powinna przekraczać 10–12 </w:t>
      </w:r>
      <w:proofErr w:type="spellStart"/>
      <w:r w:rsidRPr="00687F8E">
        <w:rPr>
          <w:rFonts w:ascii="Verdana" w:eastAsia="Calibri" w:hAnsi="Verdana"/>
          <w:sz w:val="18"/>
          <w:szCs w:val="18"/>
        </w:rPr>
        <w:t>dB</w:t>
      </w:r>
      <w:proofErr w:type="spellEnd"/>
      <w:r w:rsidRPr="00687F8E">
        <w:rPr>
          <w:rFonts w:ascii="Verdana" w:eastAsia="Calibri" w:hAnsi="Verdana"/>
          <w:sz w:val="18"/>
          <w:szCs w:val="18"/>
        </w:rPr>
        <w:t>.</w:t>
      </w:r>
    </w:p>
    <w:p w14:paraId="6BDE7EF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 </w:t>
      </w:r>
    </w:p>
    <w:p w14:paraId="51B8FCD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156:</w:t>
      </w:r>
    </w:p>
    <w:p w14:paraId="40C9299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obowiązującej rewizji systemu kontroli dostępu, ponieważ schemat ES-30 posiada rewizję 2, natomiast część pozostałej dokumentacji teletechnicznej została wydana w rewizji 3.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004E2D8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2353E1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Rewizje należy rozpatrywać odrębnie dla poszczególnych elementów dokumentacji i jako aktualne traktować te z najwyższym numerem rewizji.</w:t>
      </w:r>
    </w:p>
    <w:p w14:paraId="5F9B5B4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609D57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157:</w:t>
      </w:r>
    </w:p>
    <w:p w14:paraId="224EF6D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Prosimy o przekazanie kompletnego zestawienia przejść kontroli dostępu z podaniem numeru drzwi, rodzaju przejścia, czytników, zamka lub </w:t>
      </w:r>
      <w:proofErr w:type="spellStart"/>
      <w:r w:rsidRPr="00687F8E">
        <w:rPr>
          <w:rFonts w:ascii="Verdana" w:eastAsia="Calibri" w:hAnsi="Verdana"/>
          <w:sz w:val="18"/>
          <w:szCs w:val="18"/>
        </w:rPr>
        <w:t>elektrozaczepu</w:t>
      </w:r>
      <w:proofErr w:type="spellEnd"/>
      <w:r w:rsidRPr="00687F8E">
        <w:rPr>
          <w:rFonts w:ascii="Verdana" w:eastAsia="Calibri" w:hAnsi="Verdana"/>
          <w:sz w:val="18"/>
          <w:szCs w:val="18"/>
        </w:rPr>
        <w:t>, kontaktronu, przycisku wyjścia i trybu awaryjnego. </w:t>
      </w:r>
    </w:p>
    <w:p w14:paraId="4A5F9FC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1820FD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Projektuje się system kontroli dostępu do pomieszczeń ogólnodostępnych dla mieszkańców:</w:t>
      </w:r>
    </w:p>
    <w:p w14:paraId="05A707A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- wejścia do DS6 – kontrola do drzwi przesuwnych.  czytnik na zewnątrz w pomieszczeniu portierni przycisk wyjścia przy drzwiach przesuwnych przycisk ewakuacyjny. Kontroler drzwi przesuwnych sterowany z kontrolera systemu kontroli dostępu;</w:t>
      </w:r>
    </w:p>
    <w:p w14:paraId="73DC280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- pralni/suszarni na 1p – komunikacja bezprzewodowa z sterownikiem IP;</w:t>
      </w:r>
    </w:p>
    <w:p w14:paraId="5FF8FA3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- serwerowni na 2p - komunikacja bezprzewodowa z sterownikiem IP;</w:t>
      </w:r>
    </w:p>
    <w:p w14:paraId="6DA3460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- sali telewizyjnej na parterze - komunikacja bezprzewodowa z sterownikiem IP;</w:t>
      </w:r>
    </w:p>
    <w:p w14:paraId="2BC249A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- sali telewizyjnej na 4p - komunikacja bezprzewodowa z sterownikiem IP;</w:t>
      </w:r>
    </w:p>
    <w:p w14:paraId="5790F7C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- lektorium - komunikacja bezprzewodowa z sterownikiem IP.</w:t>
      </w:r>
    </w:p>
    <w:p w14:paraId="6F7E017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00AA48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158:</w:t>
      </w:r>
    </w:p>
    <w:p w14:paraId="4356530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Prosimy o podanie producenta lub wymagań równoważności kontrolera, systemu EA219 i bezprzewodowych elementów kontroli dostępu. </w:t>
      </w:r>
    </w:p>
    <w:p w14:paraId="61BB8BF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2F5F99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 xml:space="preserve">Dopuszczalne są kontrolery kontroli dostępu współpracujące z oprogramowaniem zamawiającego – </w:t>
      </w:r>
      <w:proofErr w:type="spellStart"/>
      <w:r w:rsidRPr="00687F8E">
        <w:rPr>
          <w:rFonts w:ascii="Verdana" w:eastAsia="Calibri" w:hAnsi="Verdana"/>
          <w:sz w:val="18"/>
          <w:szCs w:val="18"/>
        </w:rPr>
        <w:t>CredoID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zgodne z opisem w projekcie wykonawczym. Wszystkie urządzenia muszą być kompatybilne z kartami SEOS </w:t>
      </w:r>
      <w:proofErr w:type="spellStart"/>
      <w:r w:rsidRPr="00687F8E">
        <w:rPr>
          <w:rFonts w:ascii="Verdana" w:eastAsia="Calibri" w:hAnsi="Verdana"/>
          <w:sz w:val="18"/>
          <w:szCs w:val="18"/>
        </w:rPr>
        <w:t>Corporate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1000.</w:t>
      </w:r>
    </w:p>
    <w:p w14:paraId="61760FA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94300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159:</w:t>
      </w:r>
    </w:p>
    <w:p w14:paraId="6A76833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wymaganej pojemności akumulatorów, czasu podtrzymania i sposobu nadzoru zasilaczy kontroli dostępu.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5F93C91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3964C7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Zasilacze systemu kontroli dostępu należy wyposażyć w akumulatory zapewniające pracę kontrolera oraz jego osprzętu przez minimum 2 godziny przy pełnym obciążeniu. Zasilacz powinien zapewniać nadzór obecności i stanu akumulatora, w tym sygnalizację jego niskiego napięcia. Akumulator powinien zostać dobrany do obciążenia zasilacza i wymaganych parametrów ładowania zgodnie z PN-EN 60839-11-1 lub równoważną.</w:t>
      </w:r>
    </w:p>
    <w:p w14:paraId="7800A4F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BC6280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160:</w:t>
      </w:r>
    </w:p>
    <w:p w14:paraId="0BFA24F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wskazanie, czy zakres obejmuje serwer, oprogramowanie, licencje, karty, personalizację, integrację z systemem AGH, konfigurację oraz szkolenie użytkownika.</w:t>
      </w:r>
    </w:p>
    <w:p w14:paraId="1668760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08434F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Zakres dostawy systemu KD opisany jest w projekcie wykonawczym. Zamawiający udostępnia serwer z aplikacją do której trzeba dodać potrzebne licencje potrzebne do rozbudowy systemu. Należy wykonać konfigurację urządzeń. Personalizacja kart po stronie Zamawiającego. Karty zgodne z systemem SEOS </w:t>
      </w:r>
      <w:proofErr w:type="spellStart"/>
      <w:r w:rsidRPr="00687F8E">
        <w:rPr>
          <w:rFonts w:ascii="Verdana" w:eastAsia="Calibri" w:hAnsi="Verdana"/>
          <w:sz w:val="18"/>
          <w:szCs w:val="18"/>
        </w:rPr>
        <w:t>Corporate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1000.</w:t>
      </w:r>
    </w:p>
    <w:p w14:paraId="2AF0ECC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7B9651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161:</w:t>
      </w:r>
    </w:p>
    <w:p w14:paraId="1E67FD6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przejścia bezprzewodowe w sali telewizyjnej i lektorium wymagają bramki komunikacyjnej oraz o wskazanie jej lokalizacji i zasilania.</w:t>
      </w:r>
    </w:p>
    <w:p w14:paraId="1671D89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88F408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lokalizację przedstawiono na rys. ES-20-24. Zasilanie w części silnoprądowej na schematach tablic piętrowych oraz rzutach ER-02-06.</w:t>
      </w:r>
    </w:p>
    <w:p w14:paraId="1AAC01F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3D4490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162:</w:t>
      </w:r>
    </w:p>
    <w:p w14:paraId="12028BC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zgodności liczby i lokalizacji kontaktronów, puszek oraz elementów sterujących na ES-31–ES-34 z zestawieniem drzwi i systemem kontroli dostępu.</w:t>
      </w:r>
    </w:p>
    <w:p w14:paraId="06B8286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1F2E79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Kontaktrony mają być montowane w oknach, nie w drzwiach i nie mają nic wspólnego z kontrolą dostępu.</w:t>
      </w:r>
    </w:p>
    <w:p w14:paraId="3EAB3C1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A2DD71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163:</w:t>
      </w:r>
    </w:p>
    <w:p w14:paraId="5BA23E5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wyjaśnienie, czy symulacja zasysania z 5 czerwca 2023 r. jest aktualna dla dokumentacji wykonawczej wydanej w 2026 r.</w:t>
      </w:r>
    </w:p>
    <w:p w14:paraId="7A3D678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0BA093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jest aktualna. </w:t>
      </w:r>
    </w:p>
    <w:p w14:paraId="1C00C5B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4AE00E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164:</w:t>
      </w:r>
    </w:p>
    <w:p w14:paraId="02658EB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dokładnej lokalizacji szybu objętego systemem zasysającym oraz potwierdzenie długości rury, położenia pięciu otworów i dostępności serwisowej.</w:t>
      </w:r>
    </w:p>
    <w:p w14:paraId="0D1FB79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4D260B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 dokumentacji projektowej znajduje się tylko jeden szyb windowy - pomiędzy osiami A-B/4-5. Zamawiający potwierdza długości rury, położenia pięciu otworów i dostępność serwisową.</w:t>
      </w:r>
    </w:p>
    <w:p w14:paraId="65D6176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14DAD5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165:</w:t>
      </w:r>
    </w:p>
    <w:p w14:paraId="7BFED03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doboru urządzenia TITANUS MICRO·SENS, modułu detekcyjnego, filtra i napięcia wentylatora przyjętych w symulacji lub podanie parametrów równoważności.</w:t>
      </w:r>
    </w:p>
    <w:p w14:paraId="7985EAD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18F7B33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Parametry czujki zostały opisane w karcie technicznej i zaoferowane czujki mają być zgodne z tymi parametrami.</w:t>
      </w:r>
    </w:p>
    <w:p w14:paraId="18760A7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37BBD17" w14:textId="77777777" w:rsidR="00687F8E" w:rsidRP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3D11D0A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166:</w:t>
      </w:r>
    </w:p>
    <w:p w14:paraId="6F7D8FF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wymaganej klasy detekcji EN 54-20 klasy C lub równoważnej oraz progów alarmowych, sposobu sygnalizacji uszkodzeń i integracji z centralą SSP.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F0820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5D332B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 prawidłowość wskazanych w dokumentacji parametrów i opisów w zakresie objętym pytaniem. </w:t>
      </w:r>
    </w:p>
    <w:p w14:paraId="024CEE5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> </w:t>
      </w:r>
    </w:p>
    <w:p w14:paraId="5C5F8BD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167:</w:t>
      </w:r>
    </w:p>
    <w:p w14:paraId="58849EF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wymaganego czasu transportu dymu dla instalacji oraz sposobu jego pomiarowego potwierdzenia podczas odbioru.</w:t>
      </w:r>
    </w:p>
    <w:p w14:paraId="72D3046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45CD6B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Zgodnie z symulacją zawartą w projekcie należy przyjąć 90 sekund. Należy to potwierdzić poprzez przeprowadzenie próby dymowej.</w:t>
      </w:r>
    </w:p>
    <w:p w14:paraId="18A6B2C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E24626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168:</w:t>
      </w:r>
    </w:p>
    <w:p w14:paraId="64DF6CB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sposobu mocowania, oznakowania, czyszczenia i testowania rur zasysających oraz zapewnienia dostępu do wszystkich otworów.</w:t>
      </w:r>
    </w:p>
    <w:p w14:paraId="6A5AB93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 </w:t>
      </w:r>
    </w:p>
    <w:p w14:paraId="358156A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Zgodnie z normą PN-EN 54-20 lub równoważną oraz wytycznymi producenta systemu, który zostanie przedstawiony w karcie zatwierdzenia materiału. Przykładowo:</w:t>
      </w:r>
    </w:p>
    <w:p w14:paraId="3DE69B1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52D97BD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Sposób mocowania</w:t>
      </w:r>
    </w:p>
    <w:p w14:paraId="7C705B1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Uchwyty: Stosować oryginalne, dedykowane obejmy/uchwyty producenta rur z tworzywa </w:t>
      </w:r>
      <w:proofErr w:type="spellStart"/>
      <w:r w:rsidRPr="00687F8E">
        <w:rPr>
          <w:rFonts w:ascii="Verdana" w:eastAsia="Calibri" w:hAnsi="Verdana"/>
          <w:sz w:val="18"/>
          <w:szCs w:val="18"/>
        </w:rPr>
        <w:t>uPVC</w:t>
      </w:r>
      <w:proofErr w:type="spellEnd"/>
      <w:r w:rsidRPr="00687F8E">
        <w:rPr>
          <w:rFonts w:ascii="Verdana" w:eastAsia="Calibri" w:hAnsi="Verdana"/>
          <w:sz w:val="18"/>
          <w:szCs w:val="18"/>
        </w:rPr>
        <w:t>/ABS.</w:t>
      </w:r>
    </w:p>
    <w:p w14:paraId="7D6465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Rozstaw: Maksymalny odstęp między mocowaniami to co 1,5–2,0 m w poziomie oraz co 2,0 m w pionie (lub zgodnie z instrukcją producenta).</w:t>
      </w:r>
    </w:p>
    <w:p w14:paraId="0F90938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Kompensacja: Uwzględnić luz termiczny na złączkach (nie kleić na sztywno wszystkich połączeń </w:t>
      </w:r>
      <w:proofErr w:type="spellStart"/>
      <w:r w:rsidRPr="00687F8E">
        <w:rPr>
          <w:rFonts w:ascii="Verdana" w:eastAsia="Calibri" w:hAnsi="Verdana"/>
          <w:sz w:val="18"/>
          <w:szCs w:val="18"/>
        </w:rPr>
        <w:t>mufowych</w:t>
      </w:r>
      <w:proofErr w:type="spellEnd"/>
      <w:r w:rsidRPr="00687F8E">
        <w:rPr>
          <w:rFonts w:ascii="Verdana" w:eastAsia="Calibri" w:hAnsi="Verdana"/>
          <w:sz w:val="18"/>
          <w:szCs w:val="18"/>
        </w:rPr>
        <w:t>, stosować punkty stałe i przesuwne).</w:t>
      </w:r>
    </w:p>
    <w:p w14:paraId="38792CB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1BB52D9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Oznakowanie instalacji</w:t>
      </w:r>
    </w:p>
    <w:p w14:paraId="10A1D94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Napisy ostrzegawcze: Oznakować rurociąg napisem „RURARZ ZASYSAJĄCY – NIE ZASŁANIAĆ, NIE MALOWAĆ” w kolorze kontrastowym.</w:t>
      </w:r>
    </w:p>
    <w:p w14:paraId="2C19958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Częstotliwość: Oznakowania umieszczać co 5 metrów oraz przy każdym przejściu przez przegrody budowlane (ściany, stropy) oraz w pobliżu otworów.</w:t>
      </w:r>
    </w:p>
    <w:p w14:paraId="6C8ACF0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2435686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Czyszczenie i konserwacja</w:t>
      </w:r>
    </w:p>
    <w:p w14:paraId="2FF42DF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Przedmuch: Czyszczenie okresowe (1–2 razy w roku) poprzez przedmuchiwanie rurociągu sprężonym powietrzem od strony detektora w kierunku końca nitki (zdemontować korki końcowe na czas przedmuchiwania).</w:t>
      </w:r>
    </w:p>
    <w:p w14:paraId="4594F73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Filtry: Wymiana wkładu filtra w samej jednostce centralnej (detektorze) zgodnie z zaleceniami producenta (zazwyczaj raz w roku lub po komunikacie centrali).</w:t>
      </w:r>
    </w:p>
    <w:p w14:paraId="7EDCA43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7194A46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Testowanie systemu</w:t>
      </w:r>
    </w:p>
    <w:p w14:paraId="6E73D5C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Próba dymowa: Test końcowy (rozruchowy) przeprowadzić za pomocą generatora testowego dymu podawanego bezpośrednio na najbardziej oddalony otwór zasysający, </w:t>
      </w:r>
      <w:proofErr w:type="spellStart"/>
      <w:r w:rsidRPr="00687F8E">
        <w:rPr>
          <w:rFonts w:ascii="Verdana" w:eastAsia="Calibri" w:hAnsi="Verdana"/>
          <w:sz w:val="18"/>
          <w:szCs w:val="18"/>
        </w:rPr>
        <w:t>mierzac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czas transportu próbki powietrza do detektora.</w:t>
      </w:r>
    </w:p>
    <w:p w14:paraId="6CDC8BA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Sprawdzenie przepływu: Kalibracja i </w:t>
      </w:r>
      <w:proofErr w:type="spellStart"/>
      <w:r w:rsidRPr="00687F8E">
        <w:rPr>
          <w:rFonts w:ascii="Verdana" w:eastAsia="Calibri" w:hAnsi="Verdana"/>
          <w:sz w:val="18"/>
          <w:szCs w:val="18"/>
        </w:rPr>
        <w:t>autokalibracja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przepływu powietrza w rurociągu z poziomu oprogramowania detektora po całkowitym montażu.</w:t>
      </w:r>
    </w:p>
    <w:p w14:paraId="63E6829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D2C137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169:</w:t>
      </w:r>
    </w:p>
    <w:p w14:paraId="3EF2F8A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scenariusza prób odbiorczych systemu zasysającego, w tym prób dymowych dla każdego otworu oraz wymaganych protokołów.</w:t>
      </w:r>
    </w:p>
    <w:p w14:paraId="0A39B1E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 </w:t>
      </w:r>
    </w:p>
    <w:p w14:paraId="626B9EB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Próba dymowa: Test końcowy (rozruchowy) przeprowadzić za pomocą generatora testowego dymu podawanego bezpośrednio na najbardziej oddalony otwór zasysający, mierząc czas transportu próbki powietrza do detektora.</w:t>
      </w:r>
    </w:p>
    <w:p w14:paraId="55B4FFF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Sprawdzenie przepływu: Kalibracja i </w:t>
      </w:r>
      <w:proofErr w:type="spellStart"/>
      <w:r w:rsidRPr="00687F8E">
        <w:rPr>
          <w:rFonts w:ascii="Verdana" w:eastAsia="Calibri" w:hAnsi="Verdana"/>
          <w:sz w:val="18"/>
          <w:szCs w:val="18"/>
        </w:rPr>
        <w:t>autokalibracja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przepływu powietrza w rurociągu z poziomu oprogramowania detektora po całkowitym montażu.</w:t>
      </w:r>
      <w:r w:rsidRPr="00687F8E">
        <w:rPr>
          <w:rFonts w:ascii="Verdana" w:eastAsia="Calibri" w:hAnsi="Verdana"/>
          <w:sz w:val="18"/>
          <w:szCs w:val="18"/>
        </w:rPr>
        <w:br/>
        <w:t>Wymagane protokoły</w:t>
      </w:r>
    </w:p>
    <w:p w14:paraId="1BCB872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Zaleca się przygotowanie co najmniej:</w:t>
      </w:r>
    </w:p>
    <w:p w14:paraId="6A0C013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Protokołu kontroli wykonania i drożności rurociągów.</w:t>
      </w:r>
    </w:p>
    <w:p w14:paraId="69984B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Protokołu pomiarów przepływu/podciśnienia – z wynikami dla każdego otworu lub odcinka, zgodnie z metodą producenta.</w:t>
      </w:r>
    </w:p>
    <w:p w14:paraId="1294DB7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Protokołu prób dymowych – tabela obejmująca każdy otwór: numer, lokalizację, datę, wynik próby, czas reakcji/transportu, wskazanie alarmu i uwagi.</w:t>
      </w:r>
    </w:p>
    <w:p w14:paraId="73B3608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Protokołu prób alarmowych i </w:t>
      </w:r>
      <w:proofErr w:type="spellStart"/>
      <w:r w:rsidRPr="00687F8E">
        <w:rPr>
          <w:rFonts w:ascii="Verdana" w:eastAsia="Calibri" w:hAnsi="Verdana"/>
          <w:sz w:val="18"/>
          <w:szCs w:val="18"/>
        </w:rPr>
        <w:t>uszkodzeniowych</w:t>
      </w:r>
      <w:proofErr w:type="spellEnd"/>
      <w:r w:rsidRPr="00687F8E">
        <w:rPr>
          <w:rFonts w:ascii="Verdana" w:eastAsia="Calibri" w:hAnsi="Verdana"/>
          <w:sz w:val="18"/>
          <w:szCs w:val="18"/>
        </w:rPr>
        <w:t>.</w:t>
      </w:r>
    </w:p>
    <w:p w14:paraId="438A28A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Protokołu sprawdzenia transmisji do SSP/BMS – jeżeli system jest z nimi połączony.</w:t>
      </w:r>
    </w:p>
    <w:p w14:paraId="2645746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Protokołu końcowego odbioru, zawierającego wykaz przeprowadzonych prób, stwierdzone usterki, sposób ich usunięcia oraz podpisy wykonawcy, inspektora i przedstawiciela użytkownika.</w:t>
      </w:r>
    </w:p>
    <w:p w14:paraId="518EFA3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>Dokumentacji powykonawczej z naniesioną rzeczywistą lokalizacją wszystkich rur, otworów zasysających i elementów systemu.</w:t>
      </w:r>
    </w:p>
    <w:p w14:paraId="7522F52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924218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170:</w:t>
      </w:r>
    </w:p>
    <w:p w14:paraId="5A2706C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zasadniczej rozbieżności: opis SSP wskazuje czujkę zasysającą Bosch FCS-320-TM, natomiast załączona symulacja została wykonana dla urządzenia TITANUS MICRO·SENS.</w:t>
      </w:r>
    </w:p>
    <w:p w14:paraId="263C6FE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 </w:t>
      </w:r>
    </w:p>
    <w:p w14:paraId="779E397F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Parametry czujek zostały opisane w karcie technicznej i zaoferowane czujki mają być zgodne z tymi parametrami.</w:t>
      </w:r>
    </w:p>
    <w:p w14:paraId="0C10C702" w14:textId="77777777" w:rsidR="00687F8E" w:rsidRP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7AAF539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171:</w:t>
      </w:r>
    </w:p>
    <w:p w14:paraId="3326CD1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obliczeń zasysania wykonanych dla urządzenia faktycznie przeznaczonego do zabudowy; obliczenia dla innego systemu i algorytmu nie powinny stanowić podstawy odbioru rozwiązania równoważnego.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7296509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B9F2A1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nie dysponuje obliczeniami zasysania dla żadnego urządzenia. </w:t>
      </w:r>
    </w:p>
    <w:p w14:paraId="741DAD6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19269D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172:</w:t>
      </w:r>
    </w:p>
    <w:p w14:paraId="58F2344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aktualnych warunków dostawy wody oraz potwierdzenie dostępnego ciśnienia i przepustowości istniejącego przyłącza pomiarami na obiekcie.</w:t>
      </w:r>
      <w:r w:rsidRPr="00687F8E">
        <w:rPr>
          <w:rFonts w:ascii="Verdana" w:eastAsia="Calibri" w:hAnsi="Verdana"/>
          <w:b/>
          <w:bCs/>
          <w:sz w:val="18"/>
          <w:szCs w:val="18"/>
        </w:rPr>
        <w:t> </w:t>
      </w:r>
    </w:p>
    <w:p w14:paraId="5ECCF20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76D7C4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Całość należy zrealizować 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</w:t>
      </w:r>
      <w:proofErr w:type="spellEnd"/>
      <w:r w:rsidRPr="00687F8E">
        <w:rPr>
          <w:rFonts w:ascii="Verdana" w:eastAsia="Calibri" w:hAnsi="Verdana"/>
          <w:sz w:val="18"/>
          <w:szCs w:val="18"/>
        </w:rPr>
        <w:t>-kan. Dokumentacja uwzględnia istniejące parametry przyłącza w zakresie przepustowości i ciśnienia dyspozycyjnego. Zamawiający posiada czynną umowę z gestorami mediów.</w:t>
      </w:r>
    </w:p>
    <w:p w14:paraId="3E46E26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0676A7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173:</w:t>
      </w:r>
    </w:p>
    <w:p w14:paraId="5A6D5A0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granicy zakresu wymiany instalacji zimnej wody, c.w.u. i cyrkulacji w pomieszczeniu węzła oraz wskazanie punktów włączenia.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022F0B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</w:t>
      </w:r>
      <w:r w:rsidRPr="00687F8E">
        <w:rPr>
          <w:rFonts w:ascii="Verdana" w:eastAsia="Calibri" w:hAnsi="Verdana"/>
          <w:sz w:val="18"/>
          <w:szCs w:val="18"/>
        </w:rPr>
        <w:t>:</w:t>
      </w:r>
    </w:p>
    <w:p w14:paraId="47789AB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Przyłącz wody - zmiana w zakresie układu wodomierza w pomieszczeniu.</w:t>
      </w:r>
      <w:r w:rsidRPr="00687F8E">
        <w:rPr>
          <w:rFonts w:ascii="Verdana" w:eastAsia="Calibri" w:hAnsi="Verdana"/>
          <w:sz w:val="18"/>
          <w:szCs w:val="18"/>
        </w:rPr>
        <w:br/>
        <w:t xml:space="preserve">Przyłącz kanalizacji - wykonanie instalacji wewnętrznej </w:t>
      </w:r>
      <w:proofErr w:type="spellStart"/>
      <w:r w:rsidRPr="00687F8E">
        <w:rPr>
          <w:rFonts w:ascii="Verdana" w:eastAsia="Calibri" w:hAnsi="Verdana"/>
          <w:sz w:val="18"/>
          <w:szCs w:val="18"/>
        </w:rPr>
        <w:t>pozabudynkowej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w zakresie kanalizacji sanitarnej i deszczowej, przyłącza kanalizacji ogólnospławnej bez zmian. Przyłącz grzewczy - montaż zaworów odcinających w pomieszczeniu wymiennikowni przy ścianie zewnętrznej zgodnie ze schematem projektu wymiennikowni (poz. 53, 57) poprzedzone redukcją dn40/dn50. </w:t>
      </w:r>
      <w:r w:rsidRPr="00687F8E">
        <w:rPr>
          <w:rFonts w:ascii="Verdana" w:eastAsia="Calibri" w:hAnsi="Verdana"/>
          <w:sz w:val="18"/>
          <w:szCs w:val="18"/>
        </w:rPr>
        <w:br/>
        <w:t xml:space="preserve">Punkty włączenia wykonać 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wod-kan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i technologią węzła cieplnego.</w:t>
      </w:r>
    </w:p>
    <w:p w14:paraId="78D3D48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18C9FB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174:</w:t>
      </w:r>
    </w:p>
    <w:p w14:paraId="3AD8590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materiału głównych przewodów zimnej wody i podejść, wraz z wymaganym systemem połączeń, klasą ciśnienia i wymaganiami higienicznymi.</w:t>
      </w:r>
    </w:p>
    <w:p w14:paraId="18DCD6F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B2E63C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Dla rurociągów wody zimnej, ciepłej, cyrkulacyjnej prowadzonych w przestrzeni poziomu -1 należy przyjąć stal nierdzewną, dla pionów oraz podejść należy przyjąć rury wielowarstwowe PE-</w:t>
      </w:r>
      <w:proofErr w:type="spellStart"/>
      <w:r w:rsidRPr="00687F8E">
        <w:rPr>
          <w:rFonts w:ascii="Verdana" w:eastAsia="Calibri" w:hAnsi="Verdana"/>
          <w:sz w:val="18"/>
          <w:szCs w:val="18"/>
        </w:rPr>
        <w:t>Xc</w:t>
      </w:r>
      <w:proofErr w:type="spellEnd"/>
      <w:r w:rsidRPr="00687F8E">
        <w:rPr>
          <w:rFonts w:ascii="Verdana" w:eastAsia="Calibri" w:hAnsi="Verdana"/>
          <w:sz w:val="18"/>
          <w:szCs w:val="18"/>
        </w:rPr>
        <w:t>/Al/PE łączone w systemie zaciskowym, klasa ciśnienia roboczego zgodna z PN-EN-ISO 21003-2 lub równoważne - 10 bar, zastosowane materiały muszą posiadać atesty higieniczne i dokumenty dopuszczające do wbudowania w budownictwie.</w:t>
      </w:r>
    </w:p>
    <w:p w14:paraId="6DB73BD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97F598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175:</w:t>
      </w:r>
    </w:p>
    <w:p w14:paraId="159A99B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podanie wymaganych grubości izolacji dla wszystkich średnic wody zimnej, c.w.u. i cyrkulacji; opis podaje jedynie 9 mm dla wody zimnej i ogólne odwołanie do przepisów.</w:t>
      </w:r>
    </w:p>
    <w:p w14:paraId="6706C24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9576F9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wod-kan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- opis techniczny pkt 2.1.1 dla wody zimnej oraz pkt 2.2.1 dla wody ciepłej i cyrkulacji.</w:t>
      </w:r>
    </w:p>
    <w:p w14:paraId="7A5FBE6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6176BA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176: </w:t>
      </w:r>
    </w:p>
    <w:p w14:paraId="0B88B19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potwierdzenie, czy wymiana instalacji obejmuje wodomierz, zawór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antyskażeniowy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, filtr, reduktor ciśnienia i armaturę w pomieszczeniu przyłącza.</w:t>
      </w:r>
    </w:p>
    <w:p w14:paraId="1612C1B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89EF9C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5E10EC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wod-kan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granicą wymiany jest zestaw wodomierzowy, wymiana za zestawem wodomierzowym, zgodnie z rys SWK-01B.</w:t>
      </w:r>
    </w:p>
    <w:p w14:paraId="1600A6B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208535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177:</w:t>
      </w:r>
    </w:p>
    <w:p w14:paraId="0472AF9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lastRenderedPageBreak/>
        <w:t>Prosimy o podanie kompletnej specyfikacji zestawu hydroforowego, w tym wydajności, wysokości podnoszenia, układu pomp, automatyki, zbiornika i sposobu prób okresowych.</w:t>
      </w:r>
    </w:p>
    <w:p w14:paraId="3EC6EC0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05A916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wod-kan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o parametrach nie gorszych niż przedstawiony w opisie i na rys SWK-01B.</w:t>
      </w:r>
    </w:p>
    <w:p w14:paraId="5D88FEB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BA0E50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178:</w:t>
      </w:r>
    </w:p>
    <w:p w14:paraId="167F5E5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wskazanie, czy istniejące przyłącze gwarantuje wymagane parametry jednocześnie przy rozbiorze bytowym, czy też podstawą jest automatyczne odcięcie instalacji bytowej.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F5301F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E7EB90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wod-kan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po wykryciu pożaru zadziała zawór pierwszeństwa.</w:t>
      </w:r>
    </w:p>
    <w:p w14:paraId="7E8CC45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954268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179:</w:t>
      </w:r>
    </w:p>
    <w:p w14:paraId="2C57C1D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wyjaśnienie, czy hydrofor ma być uruchamiany każdorazowo po wykryciu pożaru, czy na podstawie spadku ciśnienia w instalacji hydrantowej.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DB548F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EBD64C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Po wykryciu spadku ciśnienia - 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</w:t>
      </w:r>
      <w:proofErr w:type="spellEnd"/>
      <w:r w:rsidRPr="00687F8E">
        <w:rPr>
          <w:rFonts w:ascii="Verdana" w:eastAsia="Calibri" w:hAnsi="Verdana"/>
          <w:sz w:val="18"/>
          <w:szCs w:val="18"/>
        </w:rPr>
        <w:t>-kan.</w:t>
      </w:r>
    </w:p>
    <w:p w14:paraId="72D0FF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6E0719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180:</w:t>
      </w:r>
    </w:p>
    <w:p w14:paraId="7B73791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ujęcia zasilania hydroforu sprzed przeciwpożarowego wyłącznika prądu, kabla o wymaganej odporności ogniowej i trasy jego prowadzenia.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17FA28A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2F63D5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 ujęcie zasilania hydroforu sprzed przeciwpożarowego wyłącznika prądu, kabel o wymaganej odporności ogniowej i trasę jego prowadzenia wskazane w dokumentacji projektowej.</w:t>
      </w:r>
    </w:p>
    <w:p w14:paraId="6B9C5F6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904541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181:</w:t>
      </w:r>
    </w:p>
    <w:p w14:paraId="661A212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demontaż kanalizacji do pierwszej studni obejmuje roboty ziemne, odtworzenie nawierzchni, badanie studni i ewentualną wymianę odcinka zewnętrznego.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13770DF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95EAD8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Prace należy zrealizować 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</w:t>
      </w:r>
      <w:proofErr w:type="spellEnd"/>
      <w:r w:rsidRPr="00687F8E">
        <w:rPr>
          <w:rFonts w:ascii="Verdana" w:eastAsia="Calibri" w:hAnsi="Verdana"/>
          <w:sz w:val="18"/>
          <w:szCs w:val="18"/>
        </w:rPr>
        <w:t>-kan.</w:t>
      </w:r>
    </w:p>
    <w:p w14:paraId="203482E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98F278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182:</w:t>
      </w:r>
    </w:p>
    <w:p w14:paraId="23ECE5D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aktualnego stanu technicznego i rzędnych istniejących odpływów oraz przekazanie wyników inspekcji kamerą przed rozpoczęciem robót.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523A945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C58C32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Rzędne ujęte są w dokumentacji branża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</w:t>
      </w:r>
      <w:proofErr w:type="spellEnd"/>
      <w:r w:rsidRPr="00687F8E">
        <w:rPr>
          <w:rFonts w:ascii="Verdana" w:eastAsia="Calibri" w:hAnsi="Verdana"/>
          <w:sz w:val="18"/>
          <w:szCs w:val="18"/>
        </w:rPr>
        <w:t>-kan. Zamawiający nie posiada wyników badania kamerą istniejących przyłączy sanitarnych.</w:t>
      </w:r>
    </w:p>
    <w:p w14:paraId="6442FC2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8CFD68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183:</w:t>
      </w:r>
    </w:p>
    <w:p w14:paraId="5865F6F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że kanalizacja sanitarna i deszczowa może być odprowadzana do istniejącej kanalizacji ogólnospławnej, wraz z aktualnymi warunkami zarządcy sieci.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5AC17B8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92655A4" w14:textId="4CA37A93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Tak.</w:t>
      </w:r>
      <w:r w:rsidRPr="00687F8E">
        <w:rPr>
          <w:rFonts w:ascii="Verdana" w:eastAsia="Calibri" w:hAnsi="Verdana"/>
          <w:sz w:val="18"/>
          <w:szCs w:val="18"/>
        </w:rPr>
        <w:br/>
        <w:t> </w:t>
      </w:r>
    </w:p>
    <w:p w14:paraId="3EB0374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184:</w:t>
      </w:r>
    </w:p>
    <w:p w14:paraId="0944F88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wymaganego systemu kanalizacji niskoszumowej przez podanie mierzalnych parametrów akustycznych i warunków równoważności.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5FE4DA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7F68D0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Kanalizacja niskoszumowa o parametrach nie gorszych aniżeli wskazane w dokumentacji w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wod-kan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, czyli zgodnie z normą EN 14366 lub równoważną : poziom dźwięku przy przepływie 2 l/s wynosi poniżej 10 </w:t>
      </w:r>
      <w:proofErr w:type="spellStart"/>
      <w:r w:rsidRPr="00687F8E">
        <w:rPr>
          <w:rFonts w:ascii="Verdana" w:eastAsia="Calibri" w:hAnsi="Verdana"/>
          <w:sz w:val="18"/>
          <w:szCs w:val="18"/>
        </w:rPr>
        <w:t>dB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, a przy przepływie 4 l/s max. 16 </w:t>
      </w:r>
      <w:proofErr w:type="spellStart"/>
      <w:r w:rsidRPr="00687F8E">
        <w:rPr>
          <w:rFonts w:ascii="Verdana" w:eastAsia="Calibri" w:hAnsi="Verdana"/>
          <w:sz w:val="18"/>
          <w:szCs w:val="18"/>
        </w:rPr>
        <w:t>dB</w:t>
      </w:r>
      <w:proofErr w:type="spellEnd"/>
      <w:r w:rsidRPr="00687F8E">
        <w:rPr>
          <w:rFonts w:ascii="Verdana" w:eastAsia="Calibri" w:hAnsi="Verdana"/>
          <w:sz w:val="18"/>
          <w:szCs w:val="18"/>
        </w:rPr>
        <w:t>.</w:t>
      </w:r>
    </w:p>
    <w:p w14:paraId="488D6C0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476601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185:</w:t>
      </w:r>
    </w:p>
    <w:p w14:paraId="7C5270B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sposobu zabezpieczenia odpływów w piwnicy przed przepływem zwrotnym oraz ocenę konieczności zastosowania przepompowni lub zaworów zwrotnych.</w:t>
      </w:r>
    </w:p>
    <w:p w14:paraId="06976D48" w14:textId="77777777" w:rsid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3BF20701" w14:textId="77777777" w:rsid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73C65E68" w14:textId="7A481F9F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C20BA6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Zawory zwrotne oraz przepompownie należy wykonać zgodnie z dokumentacją projektową branży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wod</w:t>
      </w:r>
      <w:proofErr w:type="spellEnd"/>
      <w:r w:rsidRPr="00687F8E">
        <w:rPr>
          <w:rFonts w:ascii="Verdana" w:eastAsia="Calibri" w:hAnsi="Verdana"/>
          <w:sz w:val="18"/>
          <w:szCs w:val="18"/>
        </w:rPr>
        <w:t>-kan.</w:t>
      </w:r>
    </w:p>
    <w:p w14:paraId="2E9C3E0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B03DA3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186:</w:t>
      </w:r>
    </w:p>
    <w:p w14:paraId="1DD6999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lastRenderedPageBreak/>
        <w:t>Prosimy o potwierdzenie, czy dla pokoi dwuosobowych przyjęto nawiew 40 m³/h oraz czy wywiew 80 m³/h z łazienki nie powoduje trwałego niezbilansowania poszczególnych modułów mieszkalnych.</w:t>
      </w:r>
    </w:p>
    <w:p w14:paraId="4CCEFF2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C1EADE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Potwierdzamy, że przyjęty bilans wentylacyjny w projekcie jest poprawny.</w:t>
      </w:r>
    </w:p>
    <w:p w14:paraId="0002DFC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9505D4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187:</w:t>
      </w:r>
    </w:p>
    <w:p w14:paraId="6B16D07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potwierdzenie, czy centrala AHU-1 i urządzenia dachowe mają być dostarczone jako wykonanie zewnętrzne wraz z automatyką, daszkami, tacami, odpływami, grzałkami i zabezpieczeniem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przeciwzamrożeniowym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.</w:t>
      </w:r>
    </w:p>
    <w:p w14:paraId="6548804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96F02A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Tak, urządzenie musi być kompletne (zgodnie z opisem w dokumentacji) z uwagi na jego lokalizację poza budynkiem.</w:t>
      </w:r>
    </w:p>
    <w:p w14:paraId="22C6BEF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D98662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188:</w:t>
      </w:r>
    </w:p>
    <w:p w14:paraId="1A93423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konstrukcji wsporczych urządzeń dachowych, obciążeń przekazywanych na konstrukcję, wibroizolacji, dojść serwisowych i sposobu odtworzenia hydroizolacji dachu.</w:t>
      </w:r>
    </w:p>
    <w:p w14:paraId="1E5F978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4454A0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Zgodnie z dokumentacją projektową projektu konstrukcji i architektury.</w:t>
      </w:r>
    </w:p>
    <w:p w14:paraId="0135873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D9059C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189:</w:t>
      </w:r>
    </w:p>
    <w:p w14:paraId="25D15EF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obliczeń akustycznych dla pokoi, korytarzy, urządzeń dachowych i elewacji oraz wskazanie wymaganych poziomów hałasu po uruchomieniu instalacji.</w:t>
      </w:r>
    </w:p>
    <w:p w14:paraId="6C3430B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93DF5A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nie posiada obliczeń akustycznych, poziomy hałasu od instalacji powinny być zgodne z normą PN-B-02151-2 lub równoważną.</w:t>
      </w:r>
    </w:p>
    <w:p w14:paraId="49052C2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67CC2D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190:</w:t>
      </w:r>
    </w:p>
    <w:p w14:paraId="5B4C968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agregat chłodniczy 33,7 kW z czynnikiem R32 obsługuje wyłącznie ciepło technologiczne, oraz przekazanie schematu hydraulicznego i bilansu mocy odbiorników.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438087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4A8CED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Agregat chłodniczy pracuje wyłącznie na potrzeby chłodzenia powietrza w centrali wentylacyjnej, nie ma powiązania hydraulicznego z ciepłem technologicznym. Instalację w tym zakresie należy realizować zgodnie z rysunkiem MOK-07 i MX-02. Schemat hydrauliczny na </w:t>
      </w:r>
      <w:proofErr w:type="spellStart"/>
      <w:r w:rsidRPr="00687F8E">
        <w:rPr>
          <w:rFonts w:ascii="Verdana" w:eastAsia="Calibri" w:hAnsi="Verdana"/>
          <w:sz w:val="18"/>
          <w:szCs w:val="18"/>
        </w:rPr>
        <w:t>ww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rysunkach wraz z bilansem mocy dla tego urządzenia</w:t>
      </w:r>
    </w:p>
    <w:p w14:paraId="2B14B8C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501382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191:</w:t>
      </w:r>
    </w:p>
    <w:p w14:paraId="2AD4212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przekazanie kompletnego doboru zespołu pompowo-regulacyjnego, naczynia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wzbiorczego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, zaworów bezpieczeństwa, separatorów, filtrów, armatury pomiarowej i układu napełniania.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708F87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E2FB2A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Dobory są ujęte w dokumentacji projektowej w branży technologia węzła cieplnego.</w:t>
      </w:r>
    </w:p>
    <w:p w14:paraId="26E5CC4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 </w:t>
      </w:r>
    </w:p>
    <w:p w14:paraId="58DB3D5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192:</w:t>
      </w:r>
    </w:p>
    <w:p w14:paraId="6DCD72F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funkcji ocieplonej szafy z grzałką 500 W, wskazanie jej lokalizacji, stopnia ochrony, termostatu, odpływu i zasilania.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7DBF922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95756F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 szafie znajduje się armatura regulacyjna dla centrali wentylacyjnej - lokalizacja na dachu. Rozwiązanie wg. dokumentacji projektowej.</w:t>
      </w:r>
    </w:p>
    <w:p w14:paraId="66AFDF0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040BEA3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193:</w:t>
      </w:r>
    </w:p>
    <w:p w14:paraId="5824C4D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podanie minimalnej temperatury zewnętrznej pracy całorocznej klimatyzatora serwerowni oraz sposobu zapewnienia ciągłości chłodzenia w razie awarii lub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odszraniania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15A0B19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0CACCB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Minimalna temperatura to -20 </w:t>
      </w:r>
      <w:proofErr w:type="spellStart"/>
      <w:r w:rsidRPr="00687F8E">
        <w:rPr>
          <w:rFonts w:ascii="Verdana" w:eastAsia="Calibri" w:hAnsi="Verdana"/>
          <w:sz w:val="18"/>
          <w:szCs w:val="18"/>
        </w:rPr>
        <w:t>st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C. Sposób chłodzenie nie uwzględnia redundancji. </w:t>
      </w:r>
    </w:p>
    <w:p w14:paraId="789BFE99" w14:textId="77777777" w:rsidR="00687F8E" w:rsidRP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13831AD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194:</w:t>
      </w:r>
    </w:p>
    <w:p w14:paraId="27A942E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wyjaśnienie, czy dla serwerowni przewidziano redundancję chłodzenia, monitoring temperatury i alarm awarii, a jeżeli nie, prosimy o potwierdzenie akceptacji rozwiązania pojedynczego.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3789CD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525C6C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Nie przewidziano redundancji. Zamawiający potwierdza rozwiązanie projektowe, pojedyncze (bez redundancji).</w:t>
      </w:r>
    </w:p>
    <w:p w14:paraId="7547EF5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3B528F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195:</w:t>
      </w:r>
    </w:p>
    <w:p w14:paraId="37F1F95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lastRenderedPageBreak/>
        <w:t>Prosimy o wyjaśnienie pozycji „grzejniki – 0 szt.” w zestawieniu demontaży, mimo projektowanej wymiany instalacji c.o. i licznych nowych grzejników.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58F6E4A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2AFC6E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Błąd w dokumentacji. Prawidłowa ilość grzejników do zdemontowania to 250 szt.</w:t>
      </w:r>
    </w:p>
    <w:p w14:paraId="7C6E174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680FC8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196:</w:t>
      </w:r>
    </w:p>
    <w:p w14:paraId="3D6598B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ilości demontowanej armatury i 350 istniejących zabezpieczeń przejść oraz wskazanie, czy ich usunięcie i odtworzenie zostało objęte zakresem.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7DA1A3F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D1C06A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 ilości armatury do demontażu. Jej usunięcie i odtworzenie wchodzi w zakres przedmiotu zamówienia. </w:t>
      </w:r>
    </w:p>
    <w:p w14:paraId="77374ED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FD86DB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197:</w:t>
      </w:r>
    </w:p>
    <w:p w14:paraId="4CF5D6A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zasad kwalifikacji, przekazania Inwestorowi lub utylizacji zdemontowanych grzejników, armatury, rur i izolacji.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0E37AD7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90672F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Kwalifikacja przekazywania Zamawiającemu lub utylizacji zdemontowanych elementów (w tym grzejników, armatury, rur i izolacji) została opisana w SWZ i dokumentacji projektowej.</w:t>
      </w:r>
    </w:p>
    <w:p w14:paraId="577450A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44807D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198:</w:t>
      </w:r>
    </w:p>
    <w:p w14:paraId="7A619AC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że decyzja nr 252/6740.2/2026 z 21 maja 2026 r. jest ostateczna i prawomocna, oraz o przekazanie stosownego potwierdzenia.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0D7B655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1EB722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Przedmiotowa decyzja jest ostateczna i prawomocna. Dokument zostanie przekazany Wykonawcy, którego oferta zostanie prawomocnie wybrana jako najkorzystniejsza.</w:t>
      </w:r>
    </w:p>
    <w:p w14:paraId="5086265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578D27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199:</w:t>
      </w:r>
    </w:p>
    <w:p w14:paraId="472EB4F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kompletnego projektu zagospodarowania działki i projektu architektoniczno-budowlanego zatwierdzonych decyzją, z oznaczeniem organu administracji architektoniczno-budowlanej.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65E10EC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600676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Udostępniona dokumentacja jest kompletna - z uwagi na zakres przedmiotu zamówienia projekt zagospodarowania terenu nie jest bowiem wymagany. Kwestie zagospodarowania terenu częściowo opisano w innych częściach dokumentacji, dotyczących prac zewnętrznych. Projekt budowlany obejmujący, projekt architektoniczno-budowlany oraz odpowiednie projekty techniczne posiadają stosowne pieczęcie organów administracji architektoniczno-budowlanej.</w:t>
      </w:r>
    </w:p>
    <w:p w14:paraId="588B60A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60729F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200:</w:t>
      </w:r>
    </w:p>
    <w:p w14:paraId="0BE230B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wskazanie, które różnice pomiędzy projektem budowlanym a wykonawczym zostały zakwalifikowane przez projektanta jako nieistotne odstąpienia, oraz o przekazanie odpowiednich kwalifikacji.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7F73AEA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40106A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Projekt wykonawczy jest zgodny z projektem budowlanym. Jeżeli w trakcie budowy zaistnieją jakiekolwiek rozbieżności będą one kwalifikowane jako nieistotne bez zbędnej zwłoki.</w:t>
      </w:r>
    </w:p>
    <w:p w14:paraId="06690C6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70DE68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201:</w:t>
      </w:r>
    </w:p>
    <w:p w14:paraId="3B51560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obowiązującej hierarchii dokumentów w przypadku rozbieżności pomiędzy decyzją, projektem budowlanym, projektem technicznym, projektem wykonawczym, specyfikacjami i zestawieniami materiałów.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A5D4E7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897E68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Wskazane w pytaniu dokumenty należy interpretować zgodnie z następującą hierarchią:</w:t>
      </w:r>
    </w:p>
    <w:p w14:paraId="667289F9" w14:textId="77777777" w:rsidR="00687F8E" w:rsidRPr="00687F8E" w:rsidRDefault="00687F8E" w:rsidP="00687F8E">
      <w:pPr>
        <w:numPr>
          <w:ilvl w:val="0"/>
          <w:numId w:val="11"/>
        </w:numPr>
        <w:ind w:left="0" w:firstLine="36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Decyzja o pozwoleniu na budowę wraz z zatwierdzonym Projektem Budowlanym (PAB) </w:t>
      </w:r>
    </w:p>
    <w:p w14:paraId="53240E9D" w14:textId="77777777" w:rsidR="00687F8E" w:rsidRPr="00687F8E" w:rsidRDefault="00687F8E" w:rsidP="00687F8E">
      <w:pPr>
        <w:numPr>
          <w:ilvl w:val="0"/>
          <w:numId w:val="11"/>
        </w:numPr>
        <w:ind w:left="0" w:firstLine="36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Projekt Techniczny (PT).</w:t>
      </w:r>
    </w:p>
    <w:p w14:paraId="2951923A" w14:textId="77777777" w:rsidR="00687F8E" w:rsidRPr="00687F8E" w:rsidRDefault="00687F8E" w:rsidP="00687F8E">
      <w:pPr>
        <w:numPr>
          <w:ilvl w:val="0"/>
          <w:numId w:val="11"/>
        </w:numPr>
        <w:ind w:left="0" w:firstLine="36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Projekt Wykonawczy (PW).</w:t>
      </w:r>
    </w:p>
    <w:p w14:paraId="396371D8" w14:textId="77777777" w:rsidR="00687F8E" w:rsidRPr="00687F8E" w:rsidRDefault="00687F8E" w:rsidP="00687F8E">
      <w:pPr>
        <w:numPr>
          <w:ilvl w:val="0"/>
          <w:numId w:val="11"/>
        </w:numPr>
        <w:ind w:left="0" w:firstLine="36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Specyfikacje Techniczne Wykonania i Odbioru Robót (</w:t>
      </w:r>
      <w:proofErr w:type="spellStart"/>
      <w:r w:rsidRPr="00687F8E">
        <w:rPr>
          <w:rFonts w:ascii="Verdana" w:eastAsia="Calibri" w:hAnsi="Verdana"/>
          <w:sz w:val="18"/>
          <w:szCs w:val="18"/>
        </w:rPr>
        <w:t>STWiOR</w:t>
      </w:r>
      <w:proofErr w:type="spellEnd"/>
      <w:r w:rsidRPr="00687F8E">
        <w:rPr>
          <w:rFonts w:ascii="Verdana" w:eastAsia="Calibri" w:hAnsi="Verdana"/>
          <w:sz w:val="18"/>
          <w:szCs w:val="18"/>
        </w:rPr>
        <w:t>).</w:t>
      </w:r>
    </w:p>
    <w:p w14:paraId="37133CD7" w14:textId="77777777" w:rsidR="00687F8E" w:rsidRPr="00687F8E" w:rsidRDefault="00687F8E" w:rsidP="00687F8E">
      <w:pPr>
        <w:numPr>
          <w:ilvl w:val="0"/>
          <w:numId w:val="11"/>
        </w:numPr>
        <w:ind w:left="0" w:firstLine="36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Zestawienia materiałów / Przedmiary robót.</w:t>
      </w:r>
    </w:p>
    <w:p w14:paraId="7811E7F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Jeżeli zaistnieją rozbieżności, będą rozpatrywane na bieżąco.</w:t>
      </w:r>
    </w:p>
    <w:p w14:paraId="61FD8D4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37BBF04" w14:textId="77777777" w:rsid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5720E73B" w14:textId="569594D6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202:</w:t>
      </w:r>
    </w:p>
    <w:p w14:paraId="24539C8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zestawienia kształtek wentylacyjnych zostały wygenerowane z ostatecznego modelu i obejmują wszystkie kształtki, kołnierze, uszczelki, podwieszenia, rewizje, izolacje i odpady montażowe.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6A79AB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6E72B8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>Zestawienie obejmuje tylko kształtki wentylacyjne.</w:t>
      </w:r>
    </w:p>
    <w:p w14:paraId="7D7CE99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C1993F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203:</w:t>
      </w:r>
    </w:p>
    <w:p w14:paraId="3C4DD2A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różnicy pomiędzy wydajnością nawiewu 6490 m³/h a wywiewu 5435 m³/h centrali AHU-1 oraz wskazanie, w jaki sposób bilansowana jest nadwyżka 1055 m³/h.</w:t>
      </w:r>
    </w:p>
    <w:p w14:paraId="10982B4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8C173B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Część powietrza usuwana jest za pomocą innych systemów wentylacyjnych, zgodnie ze schematem na rysunku MX-03.</w:t>
      </w:r>
    </w:p>
    <w:p w14:paraId="70806E3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A12470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204:</w:t>
      </w:r>
    </w:p>
    <w:p w14:paraId="7A3B667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mocy chłodnicy freonowej centrali 31,18 kW w zestawieniu urządzeń wobec agregatu chłodniczego 33,7 kW wskazanego w zestawieniu klimatyzacji i CT, oraz wyjaśnienie, czy są to dwa odrębne urządzenia.</w:t>
      </w:r>
    </w:p>
    <w:p w14:paraId="53D64F9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5FB88A4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Potwierdzamy moce chłodnicze urządzeń. Są to dwa odrębne urządzenia współpracujące ze sobą.</w:t>
      </w:r>
    </w:p>
    <w:p w14:paraId="459EB7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4F218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205:</w:t>
      </w:r>
    </w:p>
    <w:p w14:paraId="06A26AB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karty doboru centrali AHU-1 i wentylatorów, do której odwołuje się zestawienie głównych urządzeń, wraz z parametrami punktów pracy i akustyki.</w:t>
      </w:r>
    </w:p>
    <w:p w14:paraId="1FE40F1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B240328" w14:textId="2C4DD958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Wszystkie niezbędne parametry centrali i wentylatorów znajdują się w </w:t>
      </w:r>
      <w:r w:rsidR="00114330" w:rsidRPr="00114330">
        <w:rPr>
          <w:rFonts w:ascii="Verdana" w:eastAsia="Calibri" w:hAnsi="Verdana"/>
          <w:sz w:val="18"/>
          <w:szCs w:val="18"/>
        </w:rPr>
        <w:t>dokumentacji projektowej</w:t>
      </w:r>
      <w:r w:rsidRPr="00114330">
        <w:rPr>
          <w:rFonts w:ascii="Verdana" w:eastAsia="Calibri" w:hAnsi="Verdana"/>
          <w:sz w:val="18"/>
          <w:szCs w:val="18"/>
        </w:rPr>
        <w:t>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7F99DD8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CD4BFF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206:</w:t>
      </w:r>
    </w:p>
    <w:p w14:paraId="18D52F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wyjaśnienie, czy wpust łazienkowy i prefabrykowana płyta brodzikowa występują jednocześnie w każdej łazience, oraz o potwierdzenie rozwiązania hydroizolacji i liczby odpływów.</w:t>
      </w:r>
    </w:p>
    <w:p w14:paraId="458B903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627BA7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 - wpust łazienkowy i prefabrykowana płyta brodzikowa występują w każdej łazience studenckie. Dokumentacja opisuje kwestie hydroizolacji i liczby odpływów. </w:t>
      </w:r>
    </w:p>
    <w:p w14:paraId="0D28203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768F3C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207:</w:t>
      </w:r>
    </w:p>
    <w:p w14:paraId="705C5D7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aktualnej zgody operatora sieci na przeniesienie układu pomiarowego, ponowne wykorzystanie przekładników 200/5 oraz lokalizację szafy pomiarowej na zewnątrz budynku.</w:t>
      </w:r>
    </w:p>
    <w:p w14:paraId="227BD34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 </w:t>
      </w:r>
    </w:p>
    <w:p w14:paraId="036584F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udostępnia:</w:t>
      </w:r>
    </w:p>
    <w:p w14:paraId="68ABC635" w14:textId="77777777" w:rsidR="00687F8E" w:rsidRPr="00687F8E" w:rsidRDefault="00687F8E" w:rsidP="00687F8E">
      <w:pPr>
        <w:numPr>
          <w:ilvl w:val="0"/>
          <w:numId w:val="12"/>
        </w:numPr>
        <w:tabs>
          <w:tab w:val="num" w:pos="567"/>
        </w:tabs>
        <w:ind w:left="0" w:firstLine="18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Uzgodnienie układu pomiarowego</w:t>
      </w:r>
    </w:p>
    <w:p w14:paraId="20DFD977" w14:textId="77777777" w:rsidR="00687F8E" w:rsidRPr="00687F8E" w:rsidRDefault="00687F8E" w:rsidP="00687F8E">
      <w:pPr>
        <w:tabs>
          <w:tab w:val="num" w:pos="567"/>
        </w:tabs>
        <w:ind w:firstLine="180"/>
        <w:rPr>
          <w:rFonts w:ascii="Verdana" w:eastAsia="Calibri" w:hAnsi="Verdana"/>
          <w:sz w:val="18"/>
          <w:szCs w:val="18"/>
        </w:rPr>
      </w:pPr>
      <w:hyperlink r:id="rId8" w:history="1">
        <w:r w:rsidRPr="00687F8E">
          <w:rPr>
            <w:rFonts w:ascii="Verdana" w:eastAsia="Calibri" w:hAnsi="Verdana"/>
            <w:color w:val="0563C1"/>
            <w:sz w:val="18"/>
            <w:szCs w:val="18"/>
            <w:u w:val="single"/>
          </w:rPr>
          <w:t>https://miasteczko.agh.edu.pl/docs/dzp/dokumentacja_modernizacja_ds6-uzgodnienie_ukladu_pomiarowego.pdf</w:t>
        </w:r>
      </w:hyperlink>
    </w:p>
    <w:p w14:paraId="46A66786" w14:textId="77777777" w:rsidR="00687F8E" w:rsidRPr="00687F8E" w:rsidRDefault="00687F8E" w:rsidP="00687F8E">
      <w:pPr>
        <w:numPr>
          <w:ilvl w:val="0"/>
          <w:numId w:val="13"/>
        </w:numPr>
        <w:tabs>
          <w:tab w:val="num" w:pos="567"/>
        </w:tabs>
        <w:ind w:firstLine="180"/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Pismo z uzgodnieniem dokumentacji projektowej</w:t>
      </w:r>
    </w:p>
    <w:p w14:paraId="78DE497B" w14:textId="77777777" w:rsidR="00687F8E" w:rsidRPr="00687F8E" w:rsidRDefault="00687F8E" w:rsidP="00687F8E">
      <w:pPr>
        <w:tabs>
          <w:tab w:val="num" w:pos="567"/>
        </w:tabs>
        <w:rPr>
          <w:rFonts w:ascii="Verdana" w:eastAsia="Calibri" w:hAnsi="Verdana"/>
          <w:sz w:val="18"/>
          <w:szCs w:val="18"/>
        </w:rPr>
      </w:pPr>
      <w:hyperlink r:id="rId9" w:history="1">
        <w:r w:rsidRPr="00687F8E">
          <w:rPr>
            <w:rFonts w:ascii="Verdana" w:eastAsia="Calibri" w:hAnsi="Verdana"/>
            <w:color w:val="0563C1"/>
            <w:sz w:val="18"/>
            <w:szCs w:val="18"/>
            <w:u w:val="single"/>
          </w:rPr>
          <w:t>https://miasteczko.agh.edu.pl/docs/dzp/dokumentacja_modernizacja_ds6-uzgodnienie_dokumentacji.pdf</w:t>
        </w:r>
      </w:hyperlink>
    </w:p>
    <w:p w14:paraId="02B5F0AB" w14:textId="77777777" w:rsidR="00687F8E" w:rsidRPr="00687F8E" w:rsidRDefault="00687F8E" w:rsidP="00687F8E">
      <w:pPr>
        <w:tabs>
          <w:tab w:val="num" w:pos="0"/>
        </w:tabs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Lokalizację szafy przedstawia dokumentacja projektowa.</w:t>
      </w:r>
    </w:p>
    <w:p w14:paraId="18DE82B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B48D7C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208:</w:t>
      </w:r>
    </w:p>
    <w:p w14:paraId="248BF55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standard techniczny nr 1/DMN/2014 w wersji piątej z aktualizacją z listopada 2022 r. jest nadal obowiązującą podstawą wykonania układu pomiarowego.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84F0B7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B77319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 standard techniczny wykonania układu pomiarowego.</w:t>
      </w:r>
    </w:p>
    <w:p w14:paraId="26B7310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CE076B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209:</w:t>
      </w:r>
    </w:p>
    <w:p w14:paraId="2A36310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wskazanie, kto ponosi koszty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wyłączeń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, plombowania, legalizacji, odbioru i ponownego uruchomienia układu pomiarowego przez operatora.</w:t>
      </w:r>
    </w:p>
    <w:p w14:paraId="7C03B36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505884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Koszty ponosi Wykonawca.</w:t>
      </w:r>
    </w:p>
    <w:p w14:paraId="18300C4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653037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210:</w:t>
      </w:r>
    </w:p>
    <w:p w14:paraId="39B99F2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sposobu zapewnienia ciągłości zasilania głowic telefonicznych, przyłącza światłowodowego, oświetlenia zewnętrznego oraz kontenera przy boisku w okresie robót.</w:t>
      </w:r>
    </w:p>
    <w:p w14:paraId="48669F57" w14:textId="77777777" w:rsid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211ADB8E" w14:textId="7D5BDE28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E65A84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Należy wykonać tymczasowe zasilanie za pomocą rozdzielnic budowlanych lub innych elementów uzgodnionych na etapie wykonywania prac.</w:t>
      </w:r>
    </w:p>
    <w:p w14:paraId="3CF4C55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544756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211:</w:t>
      </w:r>
    </w:p>
    <w:p w14:paraId="7E57AFA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lastRenderedPageBreak/>
        <w:t>Prosimy o potwierdzenie, czy w zakresie Wykonawcy znajduje się wykonanie zasilania tymczasowego dla obiektu lub odbiorów pozostających w eksploatacji podczas przebudowy.</w:t>
      </w:r>
    </w:p>
    <w:p w14:paraId="04F97F7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29BD94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Tak.</w:t>
      </w:r>
    </w:p>
    <w:p w14:paraId="5FEAC1C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C197CA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212:</w:t>
      </w:r>
    </w:p>
    <w:p w14:paraId="08D0392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wymaganej rezerwy miejsca i mocy w rozdzielnicy głównej, rozdzielnicach piętrowych, szachtach, drabinach i korytach kablowych.</w:t>
      </w:r>
    </w:p>
    <w:p w14:paraId="372DA49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D105F1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W dokumentacji przedstawiono widoki rozdzielnic oraz wpisano </w:t>
      </w:r>
      <w:proofErr w:type="spellStart"/>
      <w:r w:rsidRPr="00687F8E">
        <w:rPr>
          <w:rFonts w:ascii="Verdana" w:eastAsia="Calibri" w:hAnsi="Verdana"/>
          <w:sz w:val="18"/>
          <w:szCs w:val="18"/>
        </w:rPr>
        <w:t>amperarze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szyn rozdzielnic. Należy przyjąć, że proponowana rozdzielnica musi posiadać nie mniej rezerwy niż przedstawiona w dokumentacji. Wymiary drabin i koryt kablowych przedstawiono w dokumentacji i należy się do nich stosować.</w:t>
      </w:r>
    </w:p>
    <w:p w14:paraId="281CE99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839556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213:</w:t>
      </w:r>
    </w:p>
    <w:p w14:paraId="4A8D9E8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liczby, lokalizacji, stopnia ochrony IP, odporności pożarowej i wyposażenia wszystkich rozdzielnic oraz wskazanie rozdzielnic dostarczanych w ramach innych branż.</w:t>
      </w:r>
    </w:p>
    <w:p w14:paraId="360708F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6F0C65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 ramach innych branż należy dostarczyć tylko rozdzielnicę węzła cieplnego. Pozostałe rozdzielnice - w tym ich liczba, lokalizacja, stopień ochrony i wyposażenie są szczegółowo opisane w dokumentacji na schematach od E-01 do E-24 oraz rzutach ER-01 - ER-07.</w:t>
      </w:r>
    </w:p>
    <w:p w14:paraId="1DF6288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77CFDD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214:</w:t>
      </w:r>
    </w:p>
    <w:p w14:paraId="6121CE5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sposobu zachowania wymaganej odporności ogniowej i izolacyjności akustycznej ścian po zabudowie wnękowych tablic mieszkaniowych z pozostawieniem jedynie 5 cm grubości ściany za rozdzielnicą.</w:t>
      </w:r>
    </w:p>
    <w:p w14:paraId="68F56E7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A9ABD8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Ściana pomiędzy łazienką a pomieszczeniem gospodarczym (w którym montowane będą rozdzielnie pokoi studenckich) nie stanowi ściany oddzielenia ppoż., ani nie jest przegrodą o wymaganym wskaźniku izolacyjności akustycznej.</w:t>
      </w:r>
    </w:p>
    <w:p w14:paraId="0D6644D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76B4FD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215:</w:t>
      </w:r>
    </w:p>
    <w:p w14:paraId="5AE3726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kompletnej architektury systemu zdalnego odczytu liczników, liczby liczników, separatorów i konwerterów, adresacji oraz schematu połączenia z siecią Zamawiającego.</w:t>
      </w:r>
    </w:p>
    <w:p w14:paraId="62A8BE3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E9569C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Architektura systemu zdalnego odczytu liczników opisana jest w punkcie 8 opisu technicznego instalacji silnoprądowych. Liczbę liczników przedstawiają schematy tablic piętrowych nr rys. od E-08 do E-11 i jest ich 60. Ilość separatorów i konwerterów, a także adresacja systemu zależy od producenta.</w:t>
      </w:r>
    </w:p>
    <w:p w14:paraId="450769B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870099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216:</w:t>
      </w:r>
    </w:p>
    <w:p w14:paraId="0D2BE95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potwierdzenie, czy licencja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MeternetPRO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 xml:space="preserve">, serwer, baza lokalna, dysk SSD z mechanizmem PLP, integracja z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PostgreSQL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 xml:space="preserve"> Zamawiającego i konfiguracja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cyberbezpieczeństwa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 xml:space="preserve"> należą do zakresu Wykonawcy.</w:t>
      </w:r>
    </w:p>
    <w:p w14:paraId="68A2F3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A0A3714" w14:textId="77777777" w:rsidR="00114330" w:rsidRPr="00114330" w:rsidRDefault="00114330" w:rsidP="00687F8E">
      <w:pPr>
        <w:rPr>
          <w:rFonts w:ascii="Verdana" w:eastAsia="Calibri" w:hAnsi="Verdana"/>
          <w:sz w:val="18"/>
          <w:szCs w:val="18"/>
        </w:rPr>
      </w:pPr>
      <w:r w:rsidRPr="00114330">
        <w:rPr>
          <w:rFonts w:ascii="Verdana" w:eastAsia="Calibri" w:hAnsi="Verdana"/>
          <w:sz w:val="18"/>
          <w:szCs w:val="18"/>
        </w:rPr>
        <w:t xml:space="preserve">Tak, licencja </w:t>
      </w:r>
      <w:proofErr w:type="spellStart"/>
      <w:r w:rsidRPr="00114330">
        <w:rPr>
          <w:rFonts w:ascii="Verdana" w:eastAsia="Calibri" w:hAnsi="Verdana"/>
          <w:sz w:val="18"/>
          <w:szCs w:val="18"/>
        </w:rPr>
        <w:t>MeternetPRO</w:t>
      </w:r>
      <w:proofErr w:type="spellEnd"/>
      <w:r w:rsidRPr="00114330">
        <w:rPr>
          <w:rFonts w:ascii="Verdana" w:eastAsia="Calibri" w:hAnsi="Verdana"/>
          <w:sz w:val="18"/>
          <w:szCs w:val="18"/>
        </w:rPr>
        <w:t xml:space="preserve">, serwer, baza lokalna, dysk SSD z mechanizmem PLP, integracja z </w:t>
      </w:r>
      <w:proofErr w:type="spellStart"/>
      <w:r w:rsidRPr="00114330">
        <w:rPr>
          <w:rFonts w:ascii="Verdana" w:eastAsia="Calibri" w:hAnsi="Verdana"/>
          <w:sz w:val="18"/>
          <w:szCs w:val="18"/>
        </w:rPr>
        <w:t>PostgreSQL</w:t>
      </w:r>
      <w:proofErr w:type="spellEnd"/>
      <w:r w:rsidRPr="00114330">
        <w:rPr>
          <w:rFonts w:ascii="Verdana" w:eastAsia="Calibri" w:hAnsi="Verdana"/>
          <w:sz w:val="18"/>
          <w:szCs w:val="18"/>
        </w:rPr>
        <w:t xml:space="preserve"> Zamawiającego i konfiguracja </w:t>
      </w:r>
      <w:proofErr w:type="spellStart"/>
      <w:r w:rsidRPr="00114330">
        <w:rPr>
          <w:rFonts w:ascii="Verdana" w:eastAsia="Calibri" w:hAnsi="Verdana"/>
          <w:sz w:val="18"/>
          <w:szCs w:val="18"/>
        </w:rPr>
        <w:t>cyberbezpieczeństwa</w:t>
      </w:r>
      <w:proofErr w:type="spellEnd"/>
      <w:r w:rsidRPr="00114330">
        <w:rPr>
          <w:rFonts w:ascii="Verdana" w:eastAsia="Calibri" w:hAnsi="Verdana"/>
          <w:sz w:val="18"/>
          <w:szCs w:val="18"/>
        </w:rPr>
        <w:t xml:space="preserve"> należą do zakresu Wykonawcy</w:t>
      </w:r>
      <w:r w:rsidRPr="00114330">
        <w:rPr>
          <w:rFonts w:ascii="Verdana" w:eastAsia="Calibri" w:hAnsi="Verdana"/>
          <w:sz w:val="18"/>
          <w:szCs w:val="18"/>
        </w:rPr>
        <w:t>.</w:t>
      </w:r>
    </w:p>
    <w:p w14:paraId="09A9B5F7" w14:textId="37566FC2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EB6825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217: </w:t>
      </w:r>
    </w:p>
    <w:p w14:paraId="4AB2697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wymaganego okresu przechowywania danych pomiarowych, częstotliwości odczytu, kopii zapasowych, uprawnień użytkowników oraz odpowiedzialności za uruchomienie integracji.</w:t>
      </w:r>
    </w:p>
    <w:p w14:paraId="3984E6B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A94480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Czas przechowywania danych: pół roku. Częstotliwość odczytu co 5 min. Zamawiający nie wymaga wykonywania kopii zapasowych jednak system musi umożliwiać przesyłanie danych do zewnętrznej bazy danych. Uprawnienia użytkowników to admin z pełnym dostępem. Odpowiedzialność za uruchomienie integracji  po stronie Wykonawcy. </w:t>
      </w:r>
    </w:p>
    <w:p w14:paraId="659B57C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218:</w:t>
      </w:r>
    </w:p>
    <w:p w14:paraId="1383727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kompletnej inwentaryzacji konstrukcji, dokumentacji odkrywek, wyników badań materiałowych i materiałów archiwalnych stanowiących podstawę ekspertyzy.</w:t>
      </w:r>
    </w:p>
    <w:p w14:paraId="34CA2A4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AC4955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informuje, że nie posiada wnioskowanych dokumentów. Wykonawca zobowiązany jest do wyceny i realizacji prac na podstawie dokumentacji projektowej (projektu wykonawczego) oraz Szczegółowych Specyfikacji Technicznych Wykonania i Odbioru Robót.</w:t>
      </w:r>
    </w:p>
    <w:p w14:paraId="72A3447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> </w:t>
      </w:r>
    </w:p>
    <w:p w14:paraId="7C8652B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219:</w:t>
      </w:r>
    </w:p>
    <w:p w14:paraId="4820D77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liczby, lokalizacji i zakresu wykonanych odkrywek oraz potwierdzenie, czy objęły miejsca projektowanych otworów, podparć ram dachowych, szybu windowego, klapy dymowej i nowych fundamentów.</w:t>
      </w:r>
    </w:p>
    <w:p w14:paraId="2EF753C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156388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Na etapie przygotowania dokumentacji projektowej stan istniejący konstrukcji został zweryfikowany w zakresie niezbędnym do prawidłowego zaprojektowania przebudowy. Zamawiający nie dysponuje odrębnymi protokołami z tych czynności. Wszelkie wnioski, parametry oraz wytyczne wynikające z przeprowadzonych analiz zostały bezpośrednio uwzględnione i zaimplementowane w załączonym projekcie wykonawczym. Wykonawca zobowiązany jest do wyceny i realizacji robót na podstawie rozwiązań zawartych w tej dokumentacji.</w:t>
      </w:r>
    </w:p>
    <w:p w14:paraId="43C2C20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19B12A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220:</w:t>
      </w:r>
    </w:p>
    <w:p w14:paraId="5526CD9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pełnych obliczeń sprawdzających istniejące stropy, ściany, fundamenty i konstrukcje dachowe dla rzeczywistych obciążeń wszystkich urządzeń, tras i nowych warstw.</w:t>
      </w:r>
    </w:p>
    <w:p w14:paraId="4CAA9DB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870FFE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Wymagane obliczenia statyczno-wytrzymałościowe – sprawdzające stan nośności istniejących stropów, ścian, fundamentów oraz konstrukcji dachowej pod kątem rzeczywistych obciążeń projektowanych – zostały wykonane przez Projektanta. Ostateczne wyniki tych analiz, wymagane wzmocnienia konstrukcyjne oraz parametry materiałowe zostały w całości zaimplementowane do projektu wykonawczego (zarówno w opisie technicznym, jak i na rysunkach konstrukcyjnych). Wykonawca zobowiązany jest do wyceny i realizacji prac na podstawie udostępnionej dokumentacji rysunkowej i opisowej.</w:t>
      </w:r>
    </w:p>
    <w:p w14:paraId="3215D78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AFAEA2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221:</w:t>
      </w:r>
    </w:p>
    <w:p w14:paraId="56F5C14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stwierdzenia, że obciążenie płyt stropowych wzrośnie jedynie o około 2%, oraz przekazanie bilansu obciążeń uwzględniającego nowe posadzki, ścianki silikatowe, instalacje, sufity i wyposażenie.</w:t>
      </w:r>
    </w:p>
    <w:p w14:paraId="2D044B8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8D1931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Wartość 2% odnosi się do przyrostu całkowitego obciążenia obliczeniowego (stałego i zmiennego) działającego na strop w stosunku do stanu pierwotnego, co mieści się w granicach zapasu nośności konstrukcji.</w:t>
      </w:r>
    </w:p>
    <w:p w14:paraId="3B04C38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Bilans obciążeń niezbędny dla zakresu projektowego – uwzględniający warstwy posadzkowe, ciężar ścianek działowych w ekwiwalencie obciążenia zastępczego, instalacje podstropowe oraz obciążenia użytkowe – został sporządzony zgodnie z normami serii PN-EN 1991 (</w:t>
      </w:r>
      <w:proofErr w:type="spellStart"/>
      <w:r w:rsidRPr="00687F8E">
        <w:rPr>
          <w:rFonts w:ascii="Verdana" w:eastAsia="Calibri" w:hAnsi="Verdana"/>
          <w:sz w:val="18"/>
          <w:szCs w:val="18"/>
        </w:rPr>
        <w:t>Eurokod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1) został wykonany przez Projektanta i zaimplementowany do projektu wykonawczego. Wykonawca zobowiązany jest do wyceny i realizacji robót ściśle na podstawie parametrów i rozwiązań materiałowych wskazanych w opisie technicznym oraz na rysunkach konstrukcyjnych.</w:t>
      </w:r>
    </w:p>
    <w:p w14:paraId="40CDFAA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915554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222:</w:t>
      </w:r>
    </w:p>
    <w:p w14:paraId="027617C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że fundamenty istniejącego budynku nie wymagają wzmocnienia, mimo wykonania nowych otworów, szybu, konstrukcji stężającej, urządzeń dachowych i rozbudowy podcieni.</w:t>
      </w:r>
    </w:p>
    <w:p w14:paraId="077B1EF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95F8BE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potwierdza.</w:t>
      </w:r>
    </w:p>
    <w:p w14:paraId="0186E0C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2E6AAC1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223:</w:t>
      </w:r>
    </w:p>
    <w:p w14:paraId="4D57E1F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braku badań geologiczno-inżynierskich przy jednoczesnym projektowaniu nowych ław fundamentowych i wymaganiu odbioru podłoża przez uprawnionego geologa.</w:t>
      </w:r>
    </w:p>
    <w:p w14:paraId="3F8520B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143FD3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Opinie geotechniczną z dokumentacją badań podłoża gruntowego zawarto w projekcie architektoniczno-budowlanym. Nowe ławy fundamentowe są projektowane wewnątrz istniejącego, użytkowanego obiektu, w bezpośrednim sąsiedztwie starych fundamentów (w tych samych warunkach gruntowych) w miejscu starych ław zabudów podcieni.</w:t>
      </w:r>
    </w:p>
    <w:p w14:paraId="58561BC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A751B7A" w14:textId="77777777" w:rsidR="00687F8E" w:rsidRPr="00687F8E" w:rsidRDefault="00687F8E" w:rsidP="00687F8E">
      <w:pPr>
        <w:rPr>
          <w:rFonts w:ascii="Verdana" w:eastAsia="Calibri" w:hAnsi="Verdana"/>
          <w:b/>
          <w:bCs/>
          <w:sz w:val="18"/>
          <w:szCs w:val="18"/>
        </w:rPr>
      </w:pPr>
    </w:p>
    <w:p w14:paraId="79AC044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224:</w:t>
      </w:r>
    </w:p>
    <w:p w14:paraId="572C82B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określenie parametrów geotechnicznych przyjętych do wymiarowania nowych fundamentów oraz dopuszczalnych wartości nośności i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osiadań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>.</w:t>
      </w:r>
    </w:p>
    <w:p w14:paraId="61A0650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14F90C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Opinie geotechniczną z dokumentacją badań podłoża gruntowego zawarto w projekcie budowlanym. Osiadanie zgodnie z warunki normowymi.</w:t>
      </w:r>
    </w:p>
    <w:p w14:paraId="4471419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7ECF80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lastRenderedPageBreak/>
        <w:t>Pytanie 225:</w:t>
      </w:r>
    </w:p>
    <w:p w14:paraId="68F4A9D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wskazanie zakresu wymiany gruntu i </w:t>
      </w:r>
      <w:r w:rsidRPr="00114330">
        <w:rPr>
          <w:rFonts w:ascii="Verdana" w:eastAsia="Calibri" w:hAnsi="Verdana"/>
          <w:i/>
          <w:iCs/>
          <w:sz w:val="18"/>
          <w:szCs w:val="18"/>
        </w:rPr>
        <w:t>sposobu rozliczenia robót</w:t>
      </w:r>
      <w:r w:rsidRPr="00687F8E">
        <w:rPr>
          <w:rFonts w:ascii="Verdana" w:eastAsia="Calibri" w:hAnsi="Verdana"/>
          <w:i/>
          <w:iCs/>
          <w:sz w:val="18"/>
          <w:szCs w:val="18"/>
        </w:rPr>
        <w:t>, jeżeli pod fundamentami zostaną ujawnione nasypy niekontrolowane lub grunty nienośne.</w:t>
      </w:r>
    </w:p>
    <w:p w14:paraId="0D239F6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AA607A8" w14:textId="5891551B" w:rsidR="00687F8E" w:rsidRPr="00687F8E" w:rsidRDefault="00114330" w:rsidP="00687F8E">
      <w:pPr>
        <w:rPr>
          <w:rFonts w:ascii="Verdana" w:eastAsia="Calibri" w:hAnsi="Verdana"/>
          <w:sz w:val="18"/>
          <w:szCs w:val="18"/>
        </w:rPr>
      </w:pPr>
      <w:r w:rsidRPr="00114330">
        <w:rPr>
          <w:rFonts w:ascii="Verdana" w:eastAsia="Calibri" w:hAnsi="Verdana"/>
          <w:sz w:val="18"/>
          <w:szCs w:val="18"/>
        </w:rPr>
        <w:t>Zamawiający nie przewiduje ujawnienia nasypów niekontrolowanych lub gruntów nienośnych pod fundamentami. W przypadku ujawnienia gruntów nienośnych lub nasypów niekontrolowanych, ich wymiana zostanie przeprowadzona pod nadzorem geotechnicznym do poziomu gruntu nośnego, a powstały wykop zostanie uzupełniony chudym betonem lub zagęszczonym kruszywem (zgodnie z decyzją Projektanta). W przypadku zaistnienia opisanej w pytaniu sytuacji Wykonawca przygotuje do zatwierdzenia przez Zamawiającego kosztorys, zgodnie z zapisami par. 17 ust. 7 wzoru umowy.</w:t>
      </w:r>
    </w:p>
    <w:p w14:paraId="3E80937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5A546F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226:</w:t>
      </w:r>
    </w:p>
    <w:p w14:paraId="10A067A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 wymaganej klasy betonu dla fundamentów, ponieważ opis wskazuje C20/25, a w części ogólnych specyfikacji pojawiają się odmienne klasy betonu.</w:t>
      </w:r>
    </w:p>
    <w:p w14:paraId="74B5E13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08DC98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Beton dla projektowanych fundamentów i konstrukcji - klasa C25/30 lub równoważna.</w:t>
      </w:r>
    </w:p>
    <w:p w14:paraId="5A78417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2753A4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227:</w:t>
      </w:r>
    </w:p>
    <w:p w14:paraId="7649308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ujednolicenie oznaczeń stali zbrojeniowej B500SP, RB500W, St0S i St-0Sb oraz wskazanie klas obowiązujących dla każdego elementu.</w:t>
      </w:r>
    </w:p>
    <w:p w14:paraId="70D84FA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57405E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Zgodnie z oznaczeniem na rysunkach konstrukcyjnych.</w:t>
      </w:r>
    </w:p>
    <w:p w14:paraId="3F12E86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36A727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228:</w:t>
      </w:r>
    </w:p>
    <w:p w14:paraId="35B5F7C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zestawienia wszystkich elementów stalowych z profilami, długościami, masami, gatunkami stali, klasami śrub, spoinami i wymaganiami wykonawczymi.</w:t>
      </w:r>
    </w:p>
    <w:p w14:paraId="20F052A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E9EDE8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nie posiada takiego zestawienia. Wszystkie elementy stalowe zostały przedstawione w zestawieniach na osobnych rysunkach dla poszczególnych elementów konstrukcyjnych. Wymagania dotyczące klas śrub, typów i grubości spoin oraz ogólne wymagania wykonawcze i technologiczne zostały szczegółowo określone w opisie technicznym do projektu i na rysunkach. Wykonawca zobowiązany jest do sporządzenia wyceny i realizacji konstrukcji na podstawie całokształtu udostępnionej dokumentacji przetargowej.</w:t>
      </w:r>
    </w:p>
    <w:p w14:paraId="6FCCAEE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A5F7C9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229:</w:t>
      </w:r>
    </w:p>
    <w:p w14:paraId="5C3A584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wymaganej klasy wykonania konstrukcji stalowej według PN-EN 1090, kategorii korozyjności, trwałości zabezpieczenia i systemu kontroli jakości spoin.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4559B64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DB349E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Wymagana klasa to EXC2 lub równoważna.</w:t>
      </w:r>
    </w:p>
    <w:p w14:paraId="02277AB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F9B76C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230:</w:t>
      </w:r>
    </w:p>
    <w:p w14:paraId="4A278D6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jednoznaczne wskazanie systemu zabezpieczenia antykorozyjnego; projekt alternatywnie dopuszcza ocynkowanie lub malowanie bez podania wymaganego przygotowania podłoża, grubości i trwałości powłoki.</w:t>
      </w:r>
    </w:p>
    <w:p w14:paraId="6A68773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44B362A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Ocynkowanie lub malowanie. Kategoria C3 lub równoważna.</w:t>
      </w:r>
    </w:p>
    <w:p w14:paraId="30DCBEC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F8F491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231:</w:t>
      </w:r>
    </w:p>
    <w:p w14:paraId="56F389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wymaganej klasy odporności ogniowej każdej belki, ramy i konstrukcji stalowej oraz przekazanie rozwiązania posiadającego klasyfikację dla konkretnego profilu i sposobu zabudowy.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57E898D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13D09F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Odporność pożarowa tych elementów została przedstawiona w punkcie 16.7 opisu projektu architektoniczno-budowlanego będącego częścią opisanych warunków ochrony pożarowej w budynku. Zarówno odporność pożarowa elementu wbudowywanego w przegrodę jak odporność danej przegrody.</w:t>
      </w:r>
    </w:p>
    <w:p w14:paraId="6DB4EF1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1466BA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232:</w:t>
      </w:r>
    </w:p>
    <w:p w14:paraId="159CB50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wyjaśnienie, czy alternatywne obłożenie płytami GKF zapewnia wymaganą odporność ogniową ram dachowych, szybu i klapy dymowej, oraz przekazanie zatwierdzonego rozwiązania systemowego.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37D9420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4C5FB41" w14:textId="2FFD606F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 xml:space="preserve">Alternatywne </w:t>
      </w:r>
      <w:r w:rsidR="00114330" w:rsidRPr="00114330">
        <w:rPr>
          <w:rFonts w:ascii="Verdana" w:eastAsia="Calibri" w:hAnsi="Verdana"/>
          <w:sz w:val="18"/>
          <w:szCs w:val="18"/>
        </w:rPr>
        <w:t>obłożenie</w:t>
      </w:r>
      <w:r w:rsidRPr="00114330">
        <w:rPr>
          <w:rFonts w:ascii="Verdana" w:eastAsia="Calibri" w:hAnsi="Verdana"/>
          <w:sz w:val="18"/>
          <w:szCs w:val="18"/>
        </w:rPr>
        <w:t xml:space="preserve"> </w:t>
      </w:r>
      <w:r w:rsidRPr="00687F8E">
        <w:rPr>
          <w:rFonts w:ascii="Verdana" w:eastAsia="Calibri" w:hAnsi="Verdana"/>
          <w:sz w:val="18"/>
          <w:szCs w:val="18"/>
        </w:rPr>
        <w:t>płytami GKF elementów konstrukcyjnych jest dopuszczalne przy zachowaniu wymaganej odporności pożarowej. Rozwiązanie alternatywne przedstawia Wykonawca do akceptacji Zamawiającego.</w:t>
      </w:r>
    </w:p>
    <w:p w14:paraId="5A44ACC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17A42E2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233:</w:t>
      </w:r>
    </w:p>
    <w:p w14:paraId="108C217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dopuszczalnej technologii skanowania zbrojenia i kanałów przed wykonaniem otworów oraz wskazanie, kto ponosi jej koszt.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6AEC465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05526FD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Wybór technologii skanowania zbrojenia i kanałów przed wykonaniem otworów należy do Wykonawcy. Koszty z tym związane ponosi Wykonawca. </w:t>
      </w:r>
    </w:p>
    <w:p w14:paraId="4699397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F3F349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234:</w:t>
      </w:r>
    </w:p>
    <w:p w14:paraId="36D1904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 xml:space="preserve">Prosimy o potwierdzenie technologii </w:t>
      </w:r>
      <w:proofErr w:type="spellStart"/>
      <w:r w:rsidRPr="00687F8E">
        <w:rPr>
          <w:rFonts w:ascii="Verdana" w:eastAsia="Calibri" w:hAnsi="Verdana"/>
          <w:i/>
          <w:iCs/>
          <w:sz w:val="18"/>
          <w:szCs w:val="18"/>
        </w:rPr>
        <w:t>bezudarowego</w:t>
      </w:r>
      <w:proofErr w:type="spellEnd"/>
      <w:r w:rsidRPr="00687F8E">
        <w:rPr>
          <w:rFonts w:ascii="Verdana" w:eastAsia="Calibri" w:hAnsi="Verdana"/>
          <w:i/>
          <w:iCs/>
          <w:sz w:val="18"/>
          <w:szCs w:val="18"/>
        </w:rPr>
        <w:t xml:space="preserve"> wycinania otworów, kolejności robót, wymaganych podparć tymczasowych i sposobu zabezpieczenia sąsiednich płyt.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20998EC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E08041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Otwory należy wycinać w płycie piłą do betonu, tarczami diamentowymi lub lancą wodną. Technologia i organizacja robót po stronie Wykonawcy.</w:t>
      </w:r>
    </w:p>
    <w:p w14:paraId="5492F53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Podparcie - obowiązkowe stemplowanie ciętego elementu i płyt sąsiednich przed rozpoczęciem prac.</w:t>
      </w:r>
    </w:p>
    <w:p w14:paraId="24D57A7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Cięcie - wyłącznie </w:t>
      </w:r>
      <w:proofErr w:type="spellStart"/>
      <w:r w:rsidRPr="00687F8E">
        <w:rPr>
          <w:rFonts w:ascii="Verdana" w:eastAsia="Calibri" w:hAnsi="Verdana"/>
          <w:sz w:val="18"/>
          <w:szCs w:val="18"/>
        </w:rPr>
        <w:t>bezudarowe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(metoda diamentowa).</w:t>
      </w:r>
    </w:p>
    <w:p w14:paraId="2CC9333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Ochrona - bezwzględne zabezpieczenie niższej kondygnacji przed zalaniem wodą i zrzutem gruzu.</w:t>
      </w:r>
    </w:p>
    <w:p w14:paraId="3DBF10C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 xml:space="preserve">Montaż - </w:t>
      </w:r>
      <w:proofErr w:type="spellStart"/>
      <w:r w:rsidRPr="00687F8E">
        <w:rPr>
          <w:rFonts w:ascii="Verdana" w:eastAsia="Calibri" w:hAnsi="Verdana"/>
          <w:sz w:val="18"/>
          <w:szCs w:val="18"/>
        </w:rPr>
        <w:t>kotwienie</w:t>
      </w:r>
      <w:proofErr w:type="spellEnd"/>
      <w:r w:rsidRPr="00687F8E">
        <w:rPr>
          <w:rFonts w:ascii="Verdana" w:eastAsia="Calibri" w:hAnsi="Verdana"/>
          <w:sz w:val="18"/>
          <w:szCs w:val="18"/>
        </w:rPr>
        <w:t xml:space="preserve"> maszyn wyłącznie do nienaruszanej konstrukcji stropu.</w:t>
      </w:r>
    </w:p>
    <w:p w14:paraId="65F3CB4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4C96D7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235:</w:t>
      </w:r>
    </w:p>
    <w:p w14:paraId="4E78EA1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sposobu postępowania przy naruszeniu więcej niż jednego kanału płyty stropowej oraz przekazanie detalu zbrojenia i zakotwienia uzupełnienia betonowego.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0FBA0E64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6FC6BA1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Projekt przewiduje wykonanie przebić zgodnie z rys. nr KW-12. W przypadku konieczności naruszenia żebra (jego wycięcie) będzie wydany stosowny nadzór. Technologia i organizacja robót po stronie Wykonawcy.</w:t>
      </w:r>
    </w:p>
    <w:p w14:paraId="35DED5A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40B86AD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236:</w:t>
      </w:r>
    </w:p>
    <w:p w14:paraId="7DE6E8B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podanie typu, producenta, parametrów obliczeniowych, głębokości zakotwienia i wymaganych prób kotew wklejanych stosowanych w istniejącym betonie.</w:t>
      </w:r>
    </w:p>
    <w:p w14:paraId="1E7B441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9F037C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Dokumentacja projektowa wskazuje parametry kotew wklejanych. Wykonawca może zastosować kotwy dowolnego producenta, pod warunkiem spełnienia tych parametrów.  </w:t>
      </w:r>
    </w:p>
    <w:p w14:paraId="0F992FE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2CE890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237:</w:t>
      </w:r>
    </w:p>
    <w:p w14:paraId="486AC30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rozwiązań mocowania ścianek działowych, instalacji i sufitów do konstrukcji bez naruszania żeber i kabli lub zbrojenia płyt prefabrykowanych.</w:t>
      </w:r>
    </w:p>
    <w:p w14:paraId="42C8D15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2D12DEE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Ściany działowe murowane z szczeliną dylatacyjną od góry, systemowe łączniki do ścian sylikatowych, Kotwy bębnowe/tulejowe lub kołki „parasolki” montowane wyłącznie w pustych przestrzeniach kanałów.</w:t>
      </w:r>
    </w:p>
    <w:p w14:paraId="47FD180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38FD0E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238:</w:t>
      </w:r>
    </w:p>
    <w:p w14:paraId="4F4D501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lokalizacji dodatkowej konstrukcji stężającej: opis układu wskazuje środkową część budynku, natomiast punkt 6.6 mówi o skrajnych przęsłach.</w:t>
      </w:r>
    </w:p>
    <w:p w14:paraId="64070C2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7D690C2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Błąd opisu - nie należy uwzględniać punktu 6.6. Stężenie dotyczy środkowej części budynku. Realizować wg. dokumentacji rysunkowej.</w:t>
      </w:r>
    </w:p>
    <w:p w14:paraId="4205116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5779B4B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239:</w:t>
      </w:r>
    </w:p>
    <w:p w14:paraId="7317E7C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wskazanie wymaganej kolejności wykonania konstrukcji stężającej, rozbiórek ścian i otworów oraz zakresu tymczasowego stężenia budynku.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7724198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EF3641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Technologia i organizacja po stronie Wykonawcy.</w:t>
      </w:r>
    </w:p>
    <w:p w14:paraId="1A52EA45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9F229D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240:</w:t>
      </w:r>
    </w:p>
    <w:p w14:paraId="5A3BEF9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projektu technologii wykonania szybu windowego, obejmującego kolejność wycinania stropów, podparcia, montaż belek HEB240 i zabezpieczenie krawędzi na każdej kondygnacji.</w:t>
      </w:r>
    </w:p>
    <w:p w14:paraId="4863C056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35D6717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lastRenderedPageBreak/>
        <w:t xml:space="preserve">Zamawiający nie posiada projektu technologii robót. Opracowanie technologii wykonania szybu windowego, kolejności prac, doboru podparć tymczasowych oraz zabezpieczeń BHP leży </w:t>
      </w:r>
      <w:r w:rsidRPr="00687F8E">
        <w:rPr>
          <w:rFonts w:ascii="Verdana" w:eastAsia="Calibri" w:hAnsi="Verdana"/>
          <w:b/>
          <w:bCs/>
          <w:sz w:val="18"/>
          <w:szCs w:val="18"/>
        </w:rPr>
        <w:t>w całości po stronie Wykonawcy</w:t>
      </w:r>
      <w:r w:rsidRPr="00687F8E">
        <w:rPr>
          <w:rFonts w:ascii="Verdana" w:eastAsia="Calibri" w:hAnsi="Verdana"/>
          <w:sz w:val="18"/>
          <w:szCs w:val="18"/>
        </w:rPr>
        <w:t xml:space="preserve"> i musi zostać uwzględnione w cenie oferty. Prace należy prowadzić zgodnie z dokumentacją projektową.</w:t>
      </w:r>
    </w:p>
    <w:p w14:paraId="7ECBD45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6C9E264F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241:</w:t>
      </w:r>
    </w:p>
    <w:p w14:paraId="0A3085B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potwierdzenie, czy projektowane podkłady anhydrytowe mogą być stosowane we wszystkich wskazanych pomieszczeniach, szczególnie w strefach wilgotnych, oraz wskazanie rozwiązania alternatywnego.</w:t>
      </w:r>
    </w:p>
    <w:p w14:paraId="0287397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8B45E9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We wszystkich pomieszczeniach, dopuszcza się wykonywanie podkładów betonowych.</w:t>
      </w:r>
    </w:p>
    <w:p w14:paraId="5A9E01A7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7AB24DF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242:</w:t>
      </w:r>
    </w:p>
    <w:p w14:paraId="2566D973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wyjaśnienie zastosowania siatki stalowej w podkładzie samopoziomującym grubości 3,5 cm i przekazanie zatwierdzonego detalu warstw posadzki.</w:t>
      </w:r>
    </w:p>
    <w:p w14:paraId="75B0D20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B76AB7E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Zapis dotyczący siatki stalowej jest błędny – nie należy wykonywać.</w:t>
      </w:r>
    </w:p>
    <w:p w14:paraId="329DBCF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Warstwy posadzkowe przedstawiono w części opisowej projektu wykonawczego architektura. Wykonywanie detalu jest bezprzedmiotowe.</w:t>
      </w:r>
    </w:p>
    <w:p w14:paraId="68663DE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35624E7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243:</w:t>
      </w:r>
    </w:p>
    <w:p w14:paraId="17681860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określenie dopuszczalnych metod usuwania istniejących podkładów metodą nieudarową oraz wymagań dotyczących ochrony płyt stropowych i kontroli ich stanu po rozbiórce.</w:t>
      </w:r>
    </w:p>
    <w:p w14:paraId="0F7BCDC1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</w:p>
    <w:p w14:paraId="1B912568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Dopuszcza się wyłącznie metody nieudarowe, takie jak nacinanie podkładu piłą diamentową na głębokość jastrychu (bez naruszania stropu) i ręczne odspajanie lub stosowanie urządzeń strugających (frezowanie). Wykonawca zobowiązany jest do stosowania mechanicznych ograniczników głębokości skrawania/cięcia oraz zabezpieczenia stropu przed zalaniem wodą technologiczną. Po zakończeniu rozbiórki Wykonawca ma obowiązek przeprowadzić inwentaryzację mechaniczną i wizualną płyt stropowych (oczyszczenie, badanie rys i ewentualnych odprysków) oraz przedstawić protokół odbioru podłoża zatwierdzony przez Inspektora Nadzoru.</w:t>
      </w:r>
    </w:p>
    <w:p w14:paraId="2A54B46A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 </w:t>
      </w:r>
    </w:p>
    <w:p w14:paraId="0E9A11BD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Pytanie 244:</w:t>
      </w:r>
    </w:p>
    <w:p w14:paraId="47A74139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i/>
          <w:iCs/>
          <w:sz w:val="18"/>
          <w:szCs w:val="18"/>
        </w:rPr>
        <w:t>Prosimy o przekazanie inwentaryzacji istniejących rys, spękań i ubytków oraz wskazanie zakresu napraw ujętego w cenie podstawowej.</w:t>
      </w:r>
    </w:p>
    <w:p w14:paraId="767DFF12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b/>
          <w:bCs/>
          <w:sz w:val="18"/>
          <w:szCs w:val="18"/>
        </w:rPr>
        <w:t>Odpowiedź:</w:t>
      </w:r>
      <w:r w:rsidRPr="00687F8E">
        <w:rPr>
          <w:rFonts w:ascii="Verdana" w:eastAsia="Calibri" w:hAnsi="Verdana"/>
          <w:sz w:val="18"/>
          <w:szCs w:val="18"/>
        </w:rPr>
        <w:t> </w:t>
      </w:r>
    </w:p>
    <w:p w14:paraId="5AAF4DCC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  <w:r w:rsidRPr="00687F8E">
        <w:rPr>
          <w:rFonts w:ascii="Verdana" w:eastAsia="Calibri" w:hAnsi="Verdana"/>
          <w:sz w:val="18"/>
          <w:szCs w:val="18"/>
        </w:rPr>
        <w:t>Zamawiający nie dysponuje inwentaryzacją rys oraz spękań. Budynek w całości podlega remontowi (do skucia wszystkie tynki). Zakres napraw po stronie Wykonawcy. </w:t>
      </w:r>
    </w:p>
    <w:p w14:paraId="1248797B" w14:textId="77777777" w:rsidR="00687F8E" w:rsidRPr="00687F8E" w:rsidRDefault="00687F8E" w:rsidP="00687F8E">
      <w:pPr>
        <w:rPr>
          <w:rFonts w:ascii="Verdana" w:eastAsia="Calibri" w:hAnsi="Verdana"/>
          <w:sz w:val="18"/>
          <w:szCs w:val="18"/>
        </w:rPr>
      </w:pPr>
    </w:p>
    <w:p w14:paraId="66A3D254" w14:textId="77777777" w:rsidR="00F06C6B" w:rsidRDefault="00F06C6B" w:rsidP="00687F8E">
      <w:pPr>
        <w:jc w:val="both"/>
        <w:rPr>
          <w:rFonts w:ascii="Verdana" w:hAnsi="Verdana"/>
          <w:sz w:val="18"/>
          <w:szCs w:val="18"/>
        </w:rPr>
      </w:pPr>
    </w:p>
    <w:p w14:paraId="75425172" w14:textId="77777777" w:rsidR="00F06C6B" w:rsidRDefault="00F06C6B" w:rsidP="00687F8E">
      <w:pPr>
        <w:jc w:val="both"/>
        <w:rPr>
          <w:rFonts w:ascii="Verdana" w:hAnsi="Verdana"/>
          <w:sz w:val="18"/>
          <w:szCs w:val="18"/>
        </w:rPr>
      </w:pPr>
    </w:p>
    <w:p w14:paraId="01692C85" w14:textId="4E909F40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  <w:r w:rsidRPr="00687F8E">
        <w:rPr>
          <w:rFonts w:ascii="Verdana" w:hAnsi="Verdana"/>
          <w:sz w:val="18"/>
          <w:szCs w:val="18"/>
        </w:rPr>
        <w:t>Zamawiający uzupełnia dokumentację i udostępnia rysunek Z1 przedstawiający sytuację budynku DS6 "Bratek":</w:t>
      </w:r>
      <w:r w:rsidRPr="00687F8E">
        <w:rPr>
          <w:rFonts w:ascii="Verdana" w:hAnsi="Verdana"/>
          <w:sz w:val="18"/>
          <w:szCs w:val="18"/>
        </w:rPr>
        <w:br/>
      </w:r>
      <w:hyperlink r:id="rId10" w:history="1">
        <w:r w:rsidRPr="00687F8E">
          <w:rPr>
            <w:rFonts w:ascii="Verdana" w:hAnsi="Verdana"/>
            <w:color w:val="467886"/>
            <w:sz w:val="18"/>
            <w:szCs w:val="18"/>
            <w:u w:val="single"/>
          </w:rPr>
          <w:t>https://miasteczko.agh.edu.pl/docs/dzp/dokumentacja_modernizacja_ds6-Z1.pdf</w:t>
        </w:r>
      </w:hyperlink>
    </w:p>
    <w:p w14:paraId="3ADD8CB6" w14:textId="77777777" w:rsidR="00687F8E" w:rsidRPr="00687F8E" w:rsidRDefault="00687F8E" w:rsidP="00687F8E">
      <w:pPr>
        <w:jc w:val="both"/>
        <w:rPr>
          <w:rFonts w:ascii="Verdana" w:hAnsi="Verdana"/>
          <w:sz w:val="18"/>
          <w:szCs w:val="18"/>
        </w:rPr>
      </w:pPr>
    </w:p>
    <w:p w14:paraId="606BE3E7" w14:textId="77777777" w:rsidR="00687F8E" w:rsidRPr="00687F8E" w:rsidRDefault="00687F8E" w:rsidP="00687F8E">
      <w:pPr>
        <w:jc w:val="both"/>
        <w:rPr>
          <w:rFonts w:ascii="Verdana" w:hAnsi="Verdana"/>
          <w:color w:val="EE0000"/>
          <w:sz w:val="18"/>
          <w:szCs w:val="18"/>
        </w:rPr>
      </w:pPr>
    </w:p>
    <w:p w14:paraId="314B4AB0" w14:textId="168134BA" w:rsidR="00621C40" w:rsidRPr="00F06C6B" w:rsidRDefault="00F06C6B" w:rsidP="00687F8E">
      <w:pPr>
        <w:rPr>
          <w:rFonts w:ascii="Verdana" w:hAnsi="Verdana"/>
          <w:sz w:val="18"/>
          <w:szCs w:val="18"/>
        </w:rPr>
      </w:pPr>
      <w:r w:rsidRPr="00F06C6B">
        <w:rPr>
          <w:rFonts w:ascii="Verdana" w:hAnsi="Verdana"/>
          <w:sz w:val="18"/>
          <w:szCs w:val="18"/>
        </w:rPr>
        <w:t>Zamawiający uzupełnia parametry żaluzji pionowych ujętych w przedmiarze branży budowlanej poz. 215:</w:t>
      </w:r>
      <w:r w:rsidRPr="00F06C6B">
        <w:rPr>
          <w:rFonts w:ascii="Verdana" w:hAnsi="Verdana"/>
          <w:sz w:val="18"/>
          <w:szCs w:val="18"/>
        </w:rPr>
        <w:br/>
        <w:t>- szerokość lameli: 127mm;</w:t>
      </w:r>
      <w:r w:rsidRPr="00F06C6B">
        <w:rPr>
          <w:rFonts w:ascii="Verdana" w:hAnsi="Verdana"/>
          <w:sz w:val="18"/>
          <w:szCs w:val="18"/>
        </w:rPr>
        <w:br/>
        <w:t>- tkanina: poliester odporny na promienie UV i kurz;</w:t>
      </w:r>
      <w:r w:rsidRPr="00F06C6B">
        <w:rPr>
          <w:rFonts w:ascii="Verdana" w:hAnsi="Verdana"/>
          <w:sz w:val="18"/>
          <w:szCs w:val="18"/>
        </w:rPr>
        <w:br/>
        <w:t>- atest higieniczny, oraz atest na niepalność;</w:t>
      </w:r>
      <w:r w:rsidRPr="00F06C6B">
        <w:rPr>
          <w:rFonts w:ascii="Verdana" w:hAnsi="Verdana"/>
          <w:sz w:val="18"/>
          <w:szCs w:val="18"/>
        </w:rPr>
        <w:br/>
        <w:t>- sterowanie: koralikowe;</w:t>
      </w:r>
      <w:r w:rsidRPr="00F06C6B">
        <w:rPr>
          <w:rFonts w:ascii="Verdana" w:hAnsi="Verdana"/>
          <w:sz w:val="18"/>
          <w:szCs w:val="18"/>
        </w:rPr>
        <w:br/>
        <w:t>- kolorystyka: ciemno-szara (szczegółowy dobór na etapie wykonania);</w:t>
      </w:r>
      <w:r w:rsidRPr="00F06C6B">
        <w:rPr>
          <w:rFonts w:ascii="Verdana" w:hAnsi="Verdana"/>
          <w:sz w:val="18"/>
          <w:szCs w:val="18"/>
        </w:rPr>
        <w:br/>
        <w:t>- składanie na obie strony.</w:t>
      </w:r>
    </w:p>
    <w:sectPr w:rsidR="00621C40" w:rsidRPr="00F06C6B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745BF" w14:textId="77777777" w:rsidR="002600F3" w:rsidRDefault="002600F3">
      <w:r>
        <w:separator/>
      </w:r>
    </w:p>
  </w:endnote>
  <w:endnote w:type="continuationSeparator" w:id="0">
    <w:p w14:paraId="1F174038" w14:textId="77777777" w:rsidR="002600F3" w:rsidRDefault="0026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9E0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A3BF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4CACC" w14:textId="77777777" w:rsidR="006D4AB3" w:rsidRDefault="002600F3">
    <w:pPr>
      <w:pStyle w:val="Stopka"/>
      <w:tabs>
        <w:tab w:val="clear" w:pos="4536"/>
      </w:tabs>
      <w:jc w:val="center"/>
    </w:pPr>
    <w:r>
      <w:rPr>
        <w:noProof/>
      </w:rPr>
      <w:pict w14:anchorId="366030EB">
        <v:line id="_x0000_s1025" style="position:absolute;left:0;text-align:left;z-index:251657728" from="-3.85pt,8.75pt" to="455.15pt,8.75pt"/>
      </w:pict>
    </w:r>
  </w:p>
  <w:p w14:paraId="3964A7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FA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D80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489694" w14:textId="77777777" w:rsidR="006D4AB3" w:rsidRDefault="006D4AB3">
    <w:pPr>
      <w:pStyle w:val="Stopka"/>
      <w:tabs>
        <w:tab w:val="clear" w:pos="4536"/>
        <w:tab w:val="left" w:pos="6237"/>
      </w:tabs>
    </w:pPr>
  </w:p>
  <w:p w14:paraId="6DC56E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B51A0" w14:textId="77777777" w:rsidR="002600F3" w:rsidRDefault="002600F3">
      <w:r>
        <w:separator/>
      </w:r>
    </w:p>
  </w:footnote>
  <w:footnote w:type="continuationSeparator" w:id="0">
    <w:p w14:paraId="49DFF328" w14:textId="77777777" w:rsidR="002600F3" w:rsidRDefault="00260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BCA03" w14:textId="77777777" w:rsidR="00654F39" w:rsidRDefault="00654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4140" w14:textId="77777777" w:rsidR="00654F39" w:rsidRDefault="00654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802E5" w14:textId="77777777" w:rsidR="00654F39" w:rsidRDefault="00654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10FB"/>
    <w:multiLevelType w:val="multilevel"/>
    <w:tmpl w:val="52261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43158"/>
    <w:multiLevelType w:val="hybridMultilevel"/>
    <w:tmpl w:val="FF20F57E"/>
    <w:lvl w:ilvl="0" w:tplc="8FC4CD50">
      <w:start w:val="6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1A36575"/>
    <w:multiLevelType w:val="multilevel"/>
    <w:tmpl w:val="319A53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261E75"/>
    <w:multiLevelType w:val="multilevel"/>
    <w:tmpl w:val="67409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2A716E4"/>
    <w:multiLevelType w:val="multilevel"/>
    <w:tmpl w:val="A5AC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0250512">
    <w:abstractNumId w:val="7"/>
  </w:num>
  <w:num w:numId="2" w16cid:durableId="2076126430">
    <w:abstractNumId w:val="11"/>
  </w:num>
  <w:num w:numId="3" w16cid:durableId="2032955684">
    <w:abstractNumId w:val="6"/>
  </w:num>
  <w:num w:numId="4" w16cid:durableId="824589064">
    <w:abstractNumId w:val="10"/>
  </w:num>
  <w:num w:numId="5" w16cid:durableId="1484541518">
    <w:abstractNumId w:val="2"/>
  </w:num>
  <w:num w:numId="6" w16cid:durableId="1158500496">
    <w:abstractNumId w:val="3"/>
  </w:num>
  <w:num w:numId="7" w16cid:durableId="1648975695">
    <w:abstractNumId w:val="9"/>
  </w:num>
  <w:num w:numId="8" w16cid:durableId="31197745">
    <w:abstractNumId w:val="1"/>
  </w:num>
  <w:num w:numId="9" w16cid:durableId="213197003">
    <w:abstractNumId w:val="1"/>
  </w:num>
  <w:num w:numId="10" w16cid:durableId="540017743">
    <w:abstractNumId w:val="8"/>
  </w:num>
  <w:num w:numId="11" w16cid:durableId="722564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774331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02984">
    <w:abstractNumId w:val="4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5ED"/>
    <w:rsid w:val="00015616"/>
    <w:rsid w:val="00015F68"/>
    <w:rsid w:val="00025F26"/>
    <w:rsid w:val="000264ED"/>
    <w:rsid w:val="00031374"/>
    <w:rsid w:val="00053099"/>
    <w:rsid w:val="000A1097"/>
    <w:rsid w:val="000A73B8"/>
    <w:rsid w:val="000E2A8F"/>
    <w:rsid w:val="00103A04"/>
    <w:rsid w:val="00114330"/>
    <w:rsid w:val="00126055"/>
    <w:rsid w:val="0012774F"/>
    <w:rsid w:val="00144B7A"/>
    <w:rsid w:val="00180C6E"/>
    <w:rsid w:val="001870D2"/>
    <w:rsid w:val="00235ED4"/>
    <w:rsid w:val="002439B2"/>
    <w:rsid w:val="002600F3"/>
    <w:rsid w:val="0029606A"/>
    <w:rsid w:val="002C6A48"/>
    <w:rsid w:val="003C36DE"/>
    <w:rsid w:val="003F430C"/>
    <w:rsid w:val="00466400"/>
    <w:rsid w:val="004848F3"/>
    <w:rsid w:val="004A75F2"/>
    <w:rsid w:val="005144A9"/>
    <w:rsid w:val="00520165"/>
    <w:rsid w:val="00536710"/>
    <w:rsid w:val="00556219"/>
    <w:rsid w:val="005B1B08"/>
    <w:rsid w:val="005B5C64"/>
    <w:rsid w:val="005F2AD6"/>
    <w:rsid w:val="00621C40"/>
    <w:rsid w:val="00631E68"/>
    <w:rsid w:val="00632C3C"/>
    <w:rsid w:val="00654F39"/>
    <w:rsid w:val="00662BDB"/>
    <w:rsid w:val="00687638"/>
    <w:rsid w:val="00687F8E"/>
    <w:rsid w:val="006A5DF1"/>
    <w:rsid w:val="006B7198"/>
    <w:rsid w:val="006D4AB3"/>
    <w:rsid w:val="006D6B5E"/>
    <w:rsid w:val="006F1520"/>
    <w:rsid w:val="006F3B81"/>
    <w:rsid w:val="00711222"/>
    <w:rsid w:val="007465ED"/>
    <w:rsid w:val="00754879"/>
    <w:rsid w:val="00780FAE"/>
    <w:rsid w:val="007A6CF7"/>
    <w:rsid w:val="007D7198"/>
    <w:rsid w:val="008536CD"/>
    <w:rsid w:val="00864538"/>
    <w:rsid w:val="00870F9F"/>
    <w:rsid w:val="008804B6"/>
    <w:rsid w:val="00897AB0"/>
    <w:rsid w:val="008A3553"/>
    <w:rsid w:val="008E0CF8"/>
    <w:rsid w:val="00951E9E"/>
    <w:rsid w:val="00960FB5"/>
    <w:rsid w:val="00987FA8"/>
    <w:rsid w:val="009D0C3D"/>
    <w:rsid w:val="009D490F"/>
    <w:rsid w:val="00A0542C"/>
    <w:rsid w:val="00A2311D"/>
    <w:rsid w:val="00A242C5"/>
    <w:rsid w:val="00A6599E"/>
    <w:rsid w:val="00A84454"/>
    <w:rsid w:val="00A905AC"/>
    <w:rsid w:val="00AF375D"/>
    <w:rsid w:val="00B127E1"/>
    <w:rsid w:val="00B26756"/>
    <w:rsid w:val="00BA6584"/>
    <w:rsid w:val="00BE7BFD"/>
    <w:rsid w:val="00C13CF0"/>
    <w:rsid w:val="00C370F2"/>
    <w:rsid w:val="00C44D5D"/>
    <w:rsid w:val="00C44EEC"/>
    <w:rsid w:val="00D22FFA"/>
    <w:rsid w:val="00D57D1F"/>
    <w:rsid w:val="00D8461B"/>
    <w:rsid w:val="00D8681B"/>
    <w:rsid w:val="00D915F2"/>
    <w:rsid w:val="00DB1DE0"/>
    <w:rsid w:val="00DF32E8"/>
    <w:rsid w:val="00DF53CA"/>
    <w:rsid w:val="00E21B49"/>
    <w:rsid w:val="00E25A6D"/>
    <w:rsid w:val="00E2789F"/>
    <w:rsid w:val="00E67F4B"/>
    <w:rsid w:val="00E71294"/>
    <w:rsid w:val="00E715A3"/>
    <w:rsid w:val="00E72428"/>
    <w:rsid w:val="00E74BC3"/>
    <w:rsid w:val="00E93EBE"/>
    <w:rsid w:val="00E97C2B"/>
    <w:rsid w:val="00EA14B3"/>
    <w:rsid w:val="00EA416E"/>
    <w:rsid w:val="00F028B3"/>
    <w:rsid w:val="00F06C6B"/>
    <w:rsid w:val="00F915E8"/>
    <w:rsid w:val="00FB083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09ABA"/>
  <w15:chartTrackingRefBased/>
  <w15:docId w15:val="{47B8CFB5-8F97-4278-9AD1-FCE343AB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D57D1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7D1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rsid w:val="00103A0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03A04"/>
  </w:style>
  <w:style w:type="character" w:customStyle="1" w:styleId="TekstkomentarzaZnak">
    <w:name w:val="Tekst komentarza Znak"/>
    <w:basedOn w:val="Domylnaczcionkaakapitu"/>
    <w:link w:val="Tekstkomentarza"/>
    <w:rsid w:val="00103A04"/>
  </w:style>
  <w:style w:type="paragraph" w:styleId="Tematkomentarza">
    <w:name w:val="annotation subject"/>
    <w:basedOn w:val="Tekstkomentarza"/>
    <w:next w:val="Tekstkomentarza"/>
    <w:link w:val="TematkomentarzaZnak"/>
    <w:rsid w:val="00103A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03A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asteczko.agh.edu.pl/docs/dzp/dokumentacja_modernizacja_ds6-uzgodnienie_ukladu_pomiarowego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modernizacja_ds6-matryca_sterowan.pdf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miasteczko.agh.edu.pl/docs/dzp/dokumentacja_modernizacja_ds6-Z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asteczko.agh.edu.pl/docs/dzp/dokumentacja_modernizacja_ds6-uzgodnienie_dokumentacji.pdf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22</Pages>
  <Words>9179</Words>
  <Characters>55074</Characters>
  <Application>Microsoft Office Word</Application>
  <DocSecurity>0</DocSecurity>
  <Lines>458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2026-08-26T09:36:00Z</cp:lastPrinted>
  <dcterms:created xsi:type="dcterms:W3CDTF">2026-08-26T09:37:00Z</dcterms:created>
  <dcterms:modified xsi:type="dcterms:W3CDTF">2026-08-26T09:37:00Z</dcterms:modified>
</cp:coreProperties>
</file>