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EE9C2" w14:textId="085DB629" w:rsidR="006A5DF1" w:rsidRPr="009B1A06" w:rsidRDefault="008A2B3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Kraków</w:t>
      </w:r>
      <w:r w:rsidR="006A5DF1" w:rsidRPr="009B1A06">
        <w:rPr>
          <w:rFonts w:ascii="Verdana" w:hAnsi="Verdana"/>
          <w:sz w:val="18"/>
          <w:szCs w:val="18"/>
        </w:rPr>
        <w:t xml:space="preserve"> dnia: </w:t>
      </w:r>
      <w:r w:rsidRPr="009B1A06">
        <w:rPr>
          <w:rFonts w:ascii="Verdana" w:hAnsi="Verdana"/>
          <w:sz w:val="18"/>
          <w:szCs w:val="18"/>
        </w:rPr>
        <w:t>2026-08-25</w:t>
      </w:r>
    </w:p>
    <w:p w14:paraId="0F85A071" w14:textId="77777777" w:rsidR="008A2B3C" w:rsidRPr="009B1A06" w:rsidRDefault="008A2B3C" w:rsidP="006A5DF1">
      <w:pPr>
        <w:rPr>
          <w:rFonts w:ascii="Verdana" w:hAnsi="Verdana"/>
          <w:b/>
          <w:bCs/>
          <w:sz w:val="18"/>
          <w:szCs w:val="18"/>
        </w:rPr>
      </w:pPr>
      <w:r w:rsidRPr="009B1A0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0AB35D9" w14:textId="77777777" w:rsidR="008A2B3C" w:rsidRPr="009B1A06" w:rsidRDefault="008A2B3C" w:rsidP="006A5DF1">
      <w:pPr>
        <w:rPr>
          <w:rFonts w:ascii="Verdana" w:hAnsi="Verdana"/>
          <w:b/>
          <w:bCs/>
          <w:sz w:val="18"/>
          <w:szCs w:val="18"/>
        </w:rPr>
      </w:pPr>
      <w:r w:rsidRPr="009B1A0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89A81F5" w14:textId="133D8EAA" w:rsidR="006A5DF1" w:rsidRPr="009B1A06" w:rsidRDefault="008A2B3C" w:rsidP="006A5DF1">
      <w:pPr>
        <w:rPr>
          <w:rFonts w:ascii="Verdana" w:hAnsi="Verdana"/>
          <w:b/>
          <w:bCs/>
          <w:sz w:val="18"/>
          <w:szCs w:val="18"/>
        </w:rPr>
      </w:pPr>
      <w:r w:rsidRPr="009B1A0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A785C9C" w14:textId="6EE5C379" w:rsidR="006A5DF1" w:rsidRPr="009B1A06" w:rsidRDefault="008A2B3C" w:rsidP="006A5DF1">
      <w:pPr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Al. Mickiewicza</w:t>
      </w:r>
      <w:r w:rsidR="006A5DF1" w:rsidRPr="009B1A06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>30</w:t>
      </w:r>
    </w:p>
    <w:p w14:paraId="0685A6E4" w14:textId="2410CF65" w:rsidR="006A5DF1" w:rsidRPr="009B1A06" w:rsidRDefault="008A2B3C" w:rsidP="006A5DF1">
      <w:pPr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30-059</w:t>
      </w:r>
      <w:r w:rsidR="006A5DF1" w:rsidRPr="009B1A06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>Kraków</w:t>
      </w:r>
    </w:p>
    <w:p w14:paraId="283B89DD" w14:textId="77777777" w:rsidR="008C65E4" w:rsidRPr="009B1A06" w:rsidRDefault="008C65E4" w:rsidP="006A5DF1">
      <w:pPr>
        <w:rPr>
          <w:rFonts w:ascii="Verdana" w:hAnsi="Verdana"/>
          <w:sz w:val="18"/>
          <w:szCs w:val="18"/>
        </w:rPr>
      </w:pPr>
    </w:p>
    <w:p w14:paraId="5060209D" w14:textId="0E27A9AC" w:rsidR="006A5DF1" w:rsidRPr="009B1A0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Pismo:</w:t>
      </w:r>
      <w:r w:rsidRPr="009B1A06">
        <w:rPr>
          <w:rFonts w:ascii="Verdana" w:hAnsi="Verdana"/>
          <w:b/>
          <w:bCs/>
          <w:sz w:val="18"/>
          <w:szCs w:val="18"/>
        </w:rPr>
        <w:t xml:space="preserve"> </w:t>
      </w:r>
      <w:r w:rsidR="008C65E4" w:rsidRPr="009B1A06">
        <w:rPr>
          <w:rFonts w:ascii="Verdana" w:hAnsi="Verdana"/>
          <w:bCs/>
          <w:sz w:val="18"/>
          <w:szCs w:val="18"/>
        </w:rPr>
        <w:t>KC-DE-zp.25.374.2026</w:t>
      </w:r>
      <w:r w:rsidRPr="009B1A06">
        <w:rPr>
          <w:rFonts w:ascii="Verdana" w:hAnsi="Verdana"/>
          <w:sz w:val="18"/>
          <w:szCs w:val="18"/>
        </w:rPr>
        <w:tab/>
        <w:t xml:space="preserve"> </w:t>
      </w:r>
    </w:p>
    <w:p w14:paraId="12D01230" w14:textId="77777777" w:rsidR="006A5DF1" w:rsidRPr="009B1A0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56652C" w14:textId="77777777" w:rsidR="006A5DF1" w:rsidRPr="009B1A0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B1A06">
        <w:rPr>
          <w:rFonts w:ascii="Verdana" w:hAnsi="Verdana"/>
          <w:b/>
          <w:sz w:val="18"/>
          <w:szCs w:val="18"/>
        </w:rPr>
        <w:t>WYKONAWCY</w:t>
      </w:r>
    </w:p>
    <w:p w14:paraId="3474297E" w14:textId="77777777" w:rsidR="006A5DF1" w:rsidRPr="009B1A0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ubiegający się o zamówienie publiczne</w:t>
      </w:r>
    </w:p>
    <w:p w14:paraId="67689ED0" w14:textId="77777777" w:rsidR="006D4AB3" w:rsidRPr="009B1A0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3A17BD0" w14:textId="7B710A16" w:rsidR="00632C3C" w:rsidRPr="009B1A0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WYJAŚNIENI</w:t>
      </w:r>
      <w:r w:rsidR="00520165" w:rsidRPr="009B1A06">
        <w:rPr>
          <w:rFonts w:ascii="Verdana" w:hAnsi="Verdana"/>
          <w:sz w:val="18"/>
          <w:szCs w:val="18"/>
        </w:rPr>
        <w:t>A</w:t>
      </w:r>
      <w:r w:rsidR="00632C3C" w:rsidRPr="009B1A06">
        <w:rPr>
          <w:rFonts w:ascii="Verdana" w:hAnsi="Verdana"/>
          <w:sz w:val="18"/>
          <w:szCs w:val="18"/>
        </w:rPr>
        <w:t xml:space="preserve"> TREŚCI</w:t>
      </w:r>
      <w:r w:rsidR="0029606A" w:rsidRPr="009B1A06">
        <w:rPr>
          <w:rFonts w:ascii="Verdana" w:hAnsi="Verdana"/>
          <w:sz w:val="18"/>
          <w:szCs w:val="18"/>
        </w:rPr>
        <w:t xml:space="preserve"> SWZ</w:t>
      </w:r>
      <w:r w:rsidR="003D2CBC">
        <w:rPr>
          <w:rFonts w:ascii="Verdana" w:hAnsi="Verdana"/>
          <w:sz w:val="18"/>
          <w:szCs w:val="18"/>
        </w:rPr>
        <w:t xml:space="preserve"> 3 – ZMIANY SWZ 1</w:t>
      </w:r>
    </w:p>
    <w:p w14:paraId="5517A3C4" w14:textId="7E612CD5" w:rsidR="006D4AB3" w:rsidRPr="009B1A0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Dotyczy: </w:t>
      </w:r>
      <w:r w:rsidR="006A5DF1" w:rsidRPr="009B1A06">
        <w:rPr>
          <w:rFonts w:ascii="Verdana" w:hAnsi="Verdana"/>
          <w:sz w:val="18"/>
          <w:szCs w:val="18"/>
        </w:rPr>
        <w:t>p</w:t>
      </w:r>
      <w:r w:rsidRPr="009B1A06">
        <w:rPr>
          <w:rFonts w:ascii="Verdana" w:hAnsi="Verdana"/>
          <w:sz w:val="18"/>
          <w:szCs w:val="18"/>
        </w:rPr>
        <w:t>ostępowani</w:t>
      </w:r>
      <w:r w:rsidR="006A5DF1" w:rsidRPr="009B1A06">
        <w:rPr>
          <w:rFonts w:ascii="Verdana" w:hAnsi="Verdana"/>
          <w:sz w:val="18"/>
          <w:szCs w:val="18"/>
        </w:rPr>
        <w:t>a</w:t>
      </w:r>
      <w:r w:rsidRPr="009B1A0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B1A06">
        <w:rPr>
          <w:rFonts w:ascii="Verdana" w:hAnsi="Verdana"/>
          <w:sz w:val="18"/>
          <w:szCs w:val="18"/>
        </w:rPr>
        <w:t>go</w:t>
      </w:r>
      <w:r w:rsidRPr="009B1A06">
        <w:rPr>
          <w:rFonts w:ascii="Verdana" w:hAnsi="Verdana"/>
          <w:sz w:val="18"/>
          <w:szCs w:val="18"/>
        </w:rPr>
        <w:t xml:space="preserve"> w trybie</w:t>
      </w:r>
      <w:r w:rsidR="001D75AC" w:rsidRPr="009B1A06">
        <w:rPr>
          <w:rFonts w:ascii="Verdana" w:hAnsi="Verdana"/>
          <w:sz w:val="18"/>
          <w:szCs w:val="18"/>
        </w:rPr>
        <w:t>:</w:t>
      </w:r>
      <w:r w:rsidRPr="009B1A06">
        <w:rPr>
          <w:rFonts w:ascii="Verdana" w:hAnsi="Verdana"/>
          <w:sz w:val="18"/>
          <w:szCs w:val="18"/>
        </w:rPr>
        <w:t xml:space="preserve"> </w:t>
      </w:r>
      <w:r w:rsidR="008A2B3C" w:rsidRPr="009B1A06">
        <w:rPr>
          <w:rFonts w:ascii="Verdana" w:hAnsi="Verdana"/>
          <w:sz w:val="18"/>
          <w:szCs w:val="18"/>
        </w:rPr>
        <w:t>przetarg nieograniczony</w:t>
      </w:r>
      <w:r w:rsidRPr="009B1A06">
        <w:rPr>
          <w:rFonts w:ascii="Verdana" w:hAnsi="Verdana"/>
          <w:b/>
          <w:sz w:val="18"/>
          <w:szCs w:val="18"/>
        </w:rPr>
        <w:t xml:space="preserve"> </w:t>
      </w:r>
      <w:r w:rsidR="00893499" w:rsidRPr="009B1A06">
        <w:rPr>
          <w:rFonts w:ascii="Verdana" w:hAnsi="Verdana"/>
          <w:bCs/>
          <w:sz w:val="18"/>
          <w:szCs w:val="18"/>
        </w:rPr>
        <w:t>pn.</w:t>
      </w:r>
      <w:r w:rsidRPr="009B1A06">
        <w:rPr>
          <w:rFonts w:ascii="Verdana" w:hAnsi="Verdana"/>
          <w:b/>
          <w:sz w:val="18"/>
          <w:szCs w:val="18"/>
        </w:rPr>
        <w:t xml:space="preserve"> </w:t>
      </w:r>
      <w:r w:rsidR="00E72428" w:rsidRPr="009B1A06">
        <w:rPr>
          <w:rFonts w:ascii="Verdana" w:hAnsi="Verdana"/>
          <w:bCs/>
          <w:sz w:val="18"/>
          <w:szCs w:val="18"/>
        </w:rPr>
        <w:t>”</w:t>
      </w:r>
      <w:r w:rsidR="008A2B3C" w:rsidRPr="009B1A06">
        <w:rPr>
          <w:rFonts w:ascii="Verdana" w:hAnsi="Verdana"/>
          <w:b/>
          <w:bCs/>
          <w:sz w:val="18"/>
          <w:szCs w:val="18"/>
        </w:rPr>
        <w:t>dostawa wysokowydajnego serwera AI wyposażonego w karty GPU na potrzeby CTB - KC-DE-zp.25.374.2026</w:t>
      </w:r>
      <w:r w:rsidR="00E72428" w:rsidRPr="009B1A06">
        <w:rPr>
          <w:rFonts w:ascii="Verdana" w:hAnsi="Verdana"/>
          <w:bCs/>
          <w:sz w:val="18"/>
          <w:szCs w:val="18"/>
        </w:rPr>
        <w:t>”</w:t>
      </w:r>
      <w:r w:rsidRPr="009B1A06">
        <w:rPr>
          <w:rFonts w:ascii="Verdana" w:hAnsi="Verdana"/>
          <w:b/>
          <w:sz w:val="18"/>
          <w:szCs w:val="18"/>
        </w:rPr>
        <w:t xml:space="preserve"> </w:t>
      </w:r>
      <w:r w:rsidRPr="009B1A06">
        <w:rPr>
          <w:rFonts w:ascii="Verdana" w:hAnsi="Verdana"/>
          <w:bCs/>
          <w:sz w:val="18"/>
          <w:szCs w:val="18"/>
        </w:rPr>
        <w:t>– znak sprawy</w:t>
      </w:r>
      <w:r w:rsidRPr="009B1A06">
        <w:rPr>
          <w:rFonts w:ascii="Verdana" w:hAnsi="Verdana"/>
          <w:b/>
          <w:sz w:val="18"/>
          <w:szCs w:val="18"/>
        </w:rPr>
        <w:t xml:space="preserve"> </w:t>
      </w:r>
      <w:r w:rsidR="008A2B3C" w:rsidRPr="009B1A06">
        <w:rPr>
          <w:rFonts w:ascii="Verdana" w:hAnsi="Verdana"/>
          <w:b/>
          <w:sz w:val="18"/>
          <w:szCs w:val="18"/>
        </w:rPr>
        <w:t>KC-DE-zp.25.374.2026</w:t>
      </w:r>
      <w:r w:rsidRPr="009B1A06">
        <w:rPr>
          <w:rFonts w:ascii="Verdana" w:hAnsi="Verdana"/>
          <w:b/>
          <w:sz w:val="18"/>
          <w:szCs w:val="18"/>
        </w:rPr>
        <w:t>.</w:t>
      </w:r>
    </w:p>
    <w:p w14:paraId="06F281CE" w14:textId="77777777" w:rsidR="0012774F" w:rsidRPr="009B1A0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Zamawiający, </w:t>
      </w:r>
      <w:r w:rsidR="001D75AC" w:rsidRPr="009B1A0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9B1A06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9B1A06">
        <w:rPr>
          <w:rFonts w:ascii="Verdana" w:hAnsi="Verdana"/>
          <w:sz w:val="18"/>
          <w:szCs w:val="18"/>
        </w:rPr>
        <w:t>1</w:t>
      </w:r>
      <w:r w:rsidRPr="009B1A06">
        <w:rPr>
          <w:rFonts w:ascii="Verdana" w:hAnsi="Verdana"/>
          <w:sz w:val="18"/>
          <w:szCs w:val="18"/>
        </w:rPr>
        <w:t>3</w:t>
      </w:r>
      <w:r w:rsidR="0029606A" w:rsidRPr="009B1A06">
        <w:rPr>
          <w:rFonts w:ascii="Verdana" w:hAnsi="Verdana"/>
          <w:sz w:val="18"/>
          <w:szCs w:val="18"/>
        </w:rPr>
        <w:t>5</w:t>
      </w:r>
      <w:r w:rsidRPr="009B1A06">
        <w:rPr>
          <w:rFonts w:ascii="Verdana" w:hAnsi="Verdana"/>
          <w:sz w:val="18"/>
          <w:szCs w:val="18"/>
        </w:rPr>
        <w:t xml:space="preserve"> ust</w:t>
      </w:r>
      <w:r w:rsidR="00D9049C" w:rsidRPr="009B1A06">
        <w:rPr>
          <w:rFonts w:ascii="Verdana" w:hAnsi="Verdana"/>
          <w:sz w:val="18"/>
          <w:szCs w:val="18"/>
        </w:rPr>
        <w:t xml:space="preserve">. </w:t>
      </w:r>
      <w:r w:rsidR="0029606A" w:rsidRPr="009B1A06">
        <w:rPr>
          <w:rFonts w:ascii="Verdana" w:hAnsi="Verdana"/>
          <w:sz w:val="18"/>
          <w:szCs w:val="18"/>
        </w:rPr>
        <w:t>6</w:t>
      </w:r>
      <w:r w:rsidRPr="009B1A06">
        <w:rPr>
          <w:rFonts w:ascii="Verdana" w:hAnsi="Verdana"/>
          <w:sz w:val="18"/>
          <w:szCs w:val="18"/>
        </w:rPr>
        <w:t xml:space="preserve"> ustawy z dnia </w:t>
      </w:r>
      <w:r w:rsidR="0029606A" w:rsidRPr="009B1A06">
        <w:rPr>
          <w:rFonts w:ascii="Verdana" w:hAnsi="Verdana"/>
          <w:sz w:val="18"/>
          <w:szCs w:val="18"/>
        </w:rPr>
        <w:t>11</w:t>
      </w:r>
      <w:r w:rsidRPr="009B1A06">
        <w:rPr>
          <w:rFonts w:ascii="Verdana" w:hAnsi="Verdana"/>
          <w:sz w:val="18"/>
          <w:szCs w:val="18"/>
        </w:rPr>
        <w:t xml:space="preserve"> </w:t>
      </w:r>
      <w:r w:rsidR="0029606A" w:rsidRPr="009B1A06">
        <w:rPr>
          <w:rFonts w:ascii="Verdana" w:hAnsi="Verdana"/>
          <w:sz w:val="18"/>
          <w:szCs w:val="18"/>
        </w:rPr>
        <w:t xml:space="preserve">września </w:t>
      </w:r>
      <w:r w:rsidRPr="009B1A06">
        <w:rPr>
          <w:rFonts w:ascii="Verdana" w:hAnsi="Verdana"/>
          <w:sz w:val="18"/>
          <w:szCs w:val="18"/>
        </w:rPr>
        <w:t>20</w:t>
      </w:r>
      <w:r w:rsidR="0029606A" w:rsidRPr="009B1A06">
        <w:rPr>
          <w:rFonts w:ascii="Verdana" w:hAnsi="Verdana"/>
          <w:sz w:val="18"/>
          <w:szCs w:val="18"/>
        </w:rPr>
        <w:t>19</w:t>
      </w:r>
      <w:r w:rsidRPr="009B1A06">
        <w:rPr>
          <w:rFonts w:ascii="Verdana" w:hAnsi="Verdana"/>
          <w:sz w:val="18"/>
          <w:szCs w:val="18"/>
        </w:rPr>
        <w:t xml:space="preserve"> r</w:t>
      </w:r>
      <w:r w:rsidR="0029606A" w:rsidRPr="009B1A06">
        <w:rPr>
          <w:rFonts w:ascii="Verdana" w:hAnsi="Verdana"/>
          <w:sz w:val="18"/>
          <w:szCs w:val="18"/>
        </w:rPr>
        <w:t>.</w:t>
      </w:r>
      <w:r w:rsidRPr="009B1A06">
        <w:rPr>
          <w:rFonts w:ascii="Verdana" w:hAnsi="Verdana"/>
          <w:sz w:val="18"/>
          <w:szCs w:val="18"/>
        </w:rPr>
        <w:t xml:space="preserve"> Prawo </w:t>
      </w:r>
      <w:r w:rsidR="0029606A" w:rsidRPr="009B1A06">
        <w:rPr>
          <w:rFonts w:ascii="Verdana" w:hAnsi="Verdana"/>
          <w:sz w:val="18"/>
          <w:szCs w:val="18"/>
        </w:rPr>
        <w:t>z</w:t>
      </w:r>
      <w:r w:rsidRPr="009B1A06">
        <w:rPr>
          <w:rFonts w:ascii="Verdana" w:hAnsi="Verdana"/>
          <w:sz w:val="18"/>
          <w:szCs w:val="18"/>
        </w:rPr>
        <w:t xml:space="preserve">amówień </w:t>
      </w:r>
      <w:r w:rsidR="0029606A" w:rsidRPr="009B1A06">
        <w:rPr>
          <w:rFonts w:ascii="Verdana" w:hAnsi="Verdana"/>
          <w:sz w:val="18"/>
          <w:szCs w:val="18"/>
        </w:rPr>
        <w:t>p</w:t>
      </w:r>
      <w:r w:rsidRPr="009B1A06">
        <w:rPr>
          <w:rFonts w:ascii="Verdana" w:hAnsi="Verdana"/>
          <w:sz w:val="18"/>
          <w:szCs w:val="18"/>
        </w:rPr>
        <w:t>ublicznych</w:t>
      </w:r>
      <w:r w:rsidR="00CF0649" w:rsidRPr="009B1A06">
        <w:rPr>
          <w:rFonts w:ascii="Verdana" w:hAnsi="Verdana"/>
          <w:sz w:val="18"/>
          <w:szCs w:val="18"/>
        </w:rPr>
        <w:t xml:space="preserve"> </w:t>
      </w:r>
      <w:r w:rsidR="0053062D" w:rsidRPr="009B1A06">
        <w:rPr>
          <w:rFonts w:ascii="Verdana" w:hAnsi="Verdana"/>
          <w:sz w:val="18"/>
          <w:szCs w:val="18"/>
        </w:rPr>
        <w:t>(Dz.U.202</w:t>
      </w:r>
      <w:r w:rsidR="009C31AF" w:rsidRPr="009B1A06">
        <w:rPr>
          <w:rFonts w:ascii="Verdana" w:hAnsi="Verdana"/>
          <w:sz w:val="18"/>
          <w:szCs w:val="18"/>
        </w:rPr>
        <w:t>6 poz. 793</w:t>
      </w:r>
      <w:r w:rsidR="0053062D" w:rsidRPr="009B1A06">
        <w:rPr>
          <w:rFonts w:ascii="Verdana" w:hAnsi="Verdana"/>
          <w:sz w:val="18"/>
          <w:szCs w:val="18"/>
        </w:rPr>
        <w:t xml:space="preserve"> ze zm.) </w:t>
      </w:r>
      <w:r w:rsidR="00D9049C" w:rsidRPr="009B1A06">
        <w:rPr>
          <w:rFonts w:ascii="Verdana" w:hAnsi="Verdana"/>
          <w:sz w:val="18"/>
          <w:szCs w:val="18"/>
        </w:rPr>
        <w:t>udostępnia</w:t>
      </w:r>
      <w:r w:rsidR="00BE7BFD" w:rsidRPr="009B1A0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B1A06">
        <w:rPr>
          <w:rFonts w:ascii="Verdana" w:hAnsi="Verdana"/>
          <w:sz w:val="18"/>
          <w:szCs w:val="18"/>
        </w:rPr>
        <w:t>pecyfikacji Warunków Zamówienia (</w:t>
      </w:r>
      <w:r w:rsidR="0012774F" w:rsidRPr="009B1A0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B1A0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B1A06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9B1A0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9B1A06">
        <w:rPr>
          <w:rFonts w:ascii="Verdana" w:hAnsi="Verdana"/>
          <w:sz w:val="18"/>
          <w:szCs w:val="18"/>
        </w:rPr>
        <w:t>wraz z wyjaśnieniami</w:t>
      </w:r>
      <w:r w:rsidR="0012774F" w:rsidRPr="009B1A0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2B3C" w:rsidRPr="009B1A06" w14:paraId="1E53CDA8" w14:textId="77777777" w:rsidTr="001F26E7">
        <w:tc>
          <w:tcPr>
            <w:tcW w:w="9356" w:type="dxa"/>
          </w:tcPr>
          <w:p w14:paraId="5B3999CA" w14:textId="0F24A1A1" w:rsidR="008A2B3C" w:rsidRPr="009B1A06" w:rsidRDefault="008A2B3C" w:rsidP="001F26E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B1A0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77FF45A" w14:textId="627F356D" w:rsidR="008A2B3C" w:rsidRPr="009B1A06" w:rsidRDefault="008A2B3C" w:rsidP="009B1A0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Działając na podstawie art. 135 ust. 1 ustawy z dnia 11 września 2019 r. – Prawo zamówień publicznych (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t.j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. Dz. U. z 2026 r. poz. 793, dalej: „ustawa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>"), jako wykonawca zainteresowany udziałem w ww. postępowaniu, zwracamy się z wnioskiem o wyjaśnienie treści SWZ w poniższym zakresie.</w:t>
            </w:r>
          </w:p>
          <w:p w14:paraId="620B9735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Pytanie nr 1 – termin realizacji zamówienia (pkt 7 SWZ oraz pkt 22 SWZ, kryterium „Termin realizacji zamówienia")</w:t>
            </w:r>
          </w:p>
          <w:p w14:paraId="431FC94B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Zamawiający w pkt 2.6 Opisu przedmiotu zamówienia wymaga, aby oferowany serwer wyposażony był w akceleratory GPU najnowszej generacji dostępnej na rynku na dzień składania ofert, wykonane zgodnie z architekturą referencyjną producenta układów GPU. Jednocześnie w pkt 7 SWZ Zamawiający wymaga realizacji zamówienia w terminie do 21 dni od daty otrzymania zamówienia potwierdzonego przez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MNiSW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>, pod rygorem odrzucenia oferty, a w ramach kryterium oceny ofert premiuje skrócenie tego terminu do 11 dni.</w:t>
            </w:r>
          </w:p>
          <w:p w14:paraId="478CDABA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Zwracamy uwagę, że systemy serwerowe wyposażone w akceleratory GPU najnowszej generacji objęte są – u wszystkich producentów serwerów oferujących tę platformę – czasami realizacji zamówień liczonymi w miesiącach od daty złożenia zamówienia produkcyjnego, co wynika z ogólnoświatowej sytuacji podażowej w zakresie układów GPU tej generacji i jest okolicznością obiektywną, niezależną od któregokolwiek wykonawcy. Termin 21 dni, a tym bardziej 11 dni, nie odpowiada zatem realiom rynkowym dla przedmiotu zamówienia opisanego w OPZ i może prowadzić do ograniczenia konkurencji wyłącznie do podmiotów dysponujących incydentalnie pojedynczymi jednostkami magazynowymi, jak również do składania przez wykonawców deklaracji terminowych obiektywnie niemożliwych do dotrzymania, co nie leży w interesie Zamawiającego.</w:t>
            </w:r>
          </w:p>
          <w:p w14:paraId="23B76B12" w14:textId="433834A7" w:rsidR="008A2B3C" w:rsidRPr="009B1A06" w:rsidRDefault="008A2B3C" w:rsidP="009B1A0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W związku z powyższym, mając na uwadze zasady proporcjonalności oraz uczciwej konkurencji (art. 16 pkt 1 i 3 ustawy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), wnosimy o zmianę treści SWZ poprzez wydłużenie maksymalnego terminu realizacji zamówienia do 36 tygodni od daty otrzymania zamówienia potwierdzonego przez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MNiSW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>.</w:t>
            </w:r>
          </w:p>
          <w:p w14:paraId="44FD6E9B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Pytanie nr 2 – wniosek o rezygnację z kryterium oceny ofert „Termin realizacji zamówienia" (pkt 22 SWZ)</w:t>
            </w:r>
          </w:p>
          <w:p w14:paraId="5C1ED18D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Niezależnie od wniosku o wydłużenie maksymalnego terminu realizacji zamówienia, wnosimy o zmianę treści SWZ poprzez rezygnację z kryterium oceny ofert „Termin realizacji zamówienia" (waga 20%) i odpowiednie zwiększenie wagi kryterium ceny, ewentualnie o istotne spłaszczenie skali punktowej tego kryterium.</w:t>
            </w:r>
          </w:p>
          <w:p w14:paraId="07B50222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lastRenderedPageBreak/>
              <w:t>Uzasadnienie:</w:t>
            </w:r>
          </w:p>
          <w:p w14:paraId="401661F1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1.</w:t>
            </w:r>
          </w:p>
          <w:p w14:paraId="4FD37C43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Przedmiotem zamówienia jest serwer wyposażony w akceleratory GPU najnowszej generacji, tj. urządzenie, które nie jest produktem magazynowym dostępnym „od ręki", lecz jest produkowane na zamówienie, przy czym czasy realizacji zamówień produkcyjnych dla tej klasy systemów – u wszystkich producentów oferujących platformę wymaganą w OPZ – liczone są obecnie w miesiącach i podlegają nieprzewidywalnym wahaniom wynikającym z globalnej sytuacji podażowej w zakresie układów GPU. Są to okoliczności obiektywne, niezależne od staranności, potencjału ani profesjonalizmu wykonawcy.</w:t>
            </w:r>
          </w:p>
          <w:p w14:paraId="2D647468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2.</w:t>
            </w:r>
          </w:p>
          <w:p w14:paraId="136C55A5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W konsekwencji punktacja przewidziana w pkt 22 SWZ (maksimum punktów za termin 11 dni) nie mierzy rzeczywistej sprawności wykonawcy ani jakości oferowanego rozwiązania, lecz premiuje wyłącznie przypadkową, incydentalną dostępność pojedynczej jednostki magazynowej u konkretnego dystrybutora w dniu składania ofert – albo, co bardziej prawdopodobne przy obecnych realiach rynkowych, skłania wykonawców do deklarowania terminów obiektywnie niemożliwych do dotrzymania wyłącznie w celu maksymalizacji punktacji. Wykonawca składający deklarację nierealistyczną uzyskuje przewagę do 20 pkt nad wykonawcą deklarującym termin rzetelny i wykonalny, co narusza zasady uczciwej konkurencji i równego traktowania wykonawców (art. 16 pkt 1 ustawy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) oraz nie służy wyborowi oferty najkorzystniejszej ekonomicznie w rozumieniu art. 239 ust. 2 ustawy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>.</w:t>
            </w:r>
          </w:p>
          <w:p w14:paraId="2EEC2B6E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3.</w:t>
            </w:r>
          </w:p>
          <w:p w14:paraId="43602436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Kryterium w obecnym kształcie generuje istotne ryzyko po stronie Zamawiającego: przenosi weryfikację realności deklaracji terminowych na etap realizacji umowy (opóźnienia, kary umowne, ewentualne odstąpienie od umowy i konieczność powtórzenia postępowania), zamiast zapewnić Zamawiającemu pewną i terminową dostawę. Interes Zamawiającego w zakresie terminowości w pełni zabezpiecza maksymalny termin realizacji określony w SWZ, którego dotrzymanie jest egzekwowalne postanowieniami umowy, oraz przewidziana w SWZ sankcja odrzucenia oferty z terminem dłuższym.</w:t>
            </w:r>
          </w:p>
          <w:p w14:paraId="4BB2951E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4.</w:t>
            </w:r>
          </w:p>
          <w:p w14:paraId="0F1DFCBD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Różnica pomiędzy dostawą w terminie 11 dni a dostawą w terminie maksymalnym nie przedstawia dla Zamawiającego wymiernej wartości ekonomicznej proporcjonalnej do 20% łącznej punktacji, tym bardziej że bieg terminu realizacji rozpoczyna się od zdarzenia przyszłego, którego data zależy wyłącznie od Zamawiającego i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MNiSW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 (przekazanie zamówienia potwierdzonego), a nie od wykonawcy.</w:t>
            </w:r>
          </w:p>
          <w:p w14:paraId="16AA8C6C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W związku z powyższym wnosimy o:</w:t>
            </w:r>
          </w:p>
          <w:p w14:paraId="7F742D4D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a) rezygnację z kryterium „Termin realizacji zamówienia" i przeniesienie jego wagi na kryterium ceny (art. 246 ust. 2 ustawy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 dopuszcza takie rozwiązanie, gdyż wymagania jakościowe odnoszące się do przedmiotu zamówienia zostały szczegółowo określone w Opisie przedmiotu zamówienia),</w:t>
            </w:r>
          </w:p>
          <w:p w14:paraId="7ECAEB0B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ewentualnie:</w:t>
            </w:r>
          </w:p>
          <w:p w14:paraId="6F9F810A" w14:textId="30DC6F53" w:rsidR="008A2B3C" w:rsidRPr="009B1A06" w:rsidRDefault="008A2B3C" w:rsidP="009B1A0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b) spłaszczenie skali punktowej kryterium do dwóch progów odpowiadających realiom rynkowym dla przedmiotu zamówienia, tak aby kryterium nie premiowało deklaracji obiektywnie niewykonalnych.</w:t>
            </w:r>
          </w:p>
          <w:p w14:paraId="6554BCDA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Pytanie nr 3 – licencje oprogramowania (pkt 2.10 OPZ) a okres gwarancji</w:t>
            </w:r>
          </w:p>
          <w:p w14:paraId="0F52ED88" w14:textId="13EB0CC5" w:rsidR="008A2B3C" w:rsidRPr="009B1A06" w:rsidRDefault="008A2B3C" w:rsidP="009B1A0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Zamawiający w pkt 2.10 OPZ wymaga dostarczenia oprogramowania certyfikowanego lub walidowanego przez producenta układów GPU wraz z licencjami na cały okres gwarancyjny, przy czym okres gwarancji stanowi kryterium oceny ofert (36–48 miesięcy). Prosimy o potwierdzenie, że wykonawca zobowiązany jest wykazać – w ramach przedmiotowych środków dowodowych składanych wraz z ofertą – iż oferowane licencje oprogramowania, o którym mowa w pkt 2.10 OPZ, obejmują okres nie krótszy niż zadeklarowany w ofercie okres gwarancji, oraz że koszt tych licencji ma być uwzględniony w cenie oferty.</w:t>
            </w:r>
          </w:p>
          <w:p w14:paraId="76FA5DD6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>Pytanie nr 4 – specyfikacja oferowanej konfiguracji (pkt 4.14 SWZ, tabela zgodności)</w:t>
            </w:r>
          </w:p>
          <w:p w14:paraId="5F4B5E8A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Zamawiający wymaga jednoznacznego wskazania w ofercie producenta i modelu oferowanego serwera oraz złożenia tabeli zgodności odnoszącej się do wymagań OPZ. Zwracamy uwagę, że w przypadku serwerów konfigurowanych na zamówienie (CTO) samo oznaczenie modelu nie identyfikuje jednoznacznie oferowanej konfiguracji sprzętowo-programowej, co uniemożliwia </w:t>
            </w:r>
            <w:r w:rsidRPr="009B1A06">
              <w:rPr>
                <w:rFonts w:ascii="Verdana" w:hAnsi="Verdana"/>
                <w:sz w:val="18"/>
                <w:szCs w:val="18"/>
              </w:rPr>
              <w:lastRenderedPageBreak/>
              <w:t xml:space="preserve">rzetelną weryfikację zgodności oferty z OPZ oraz porównywalność ofert. Prosimy o potwierdzenie, że wykonawca zobowiązany jest załączyć do oferty pełną specyfikację oferowanej konfiguracji, obejmującą wykaz wszystkich komponentów sprzętowych i programowych wchodzących w skład oferowanego rozwiązania – z podaniem numerów katalogowych (part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number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>) producenta, opisów oraz ilości poszczególnych pozycji, w tym w szczególności: procesorów, modułów pamięci, nośników danych, kart i urządzeń sieciowych (w tym DPU), zasilaczy, a także licencji oprogramowania, o którym mowa w pkt 2.9 i 2.10 OPZ, wraz z okresami ich obowiązywania – oraz że treść tej specyfikacji będzie wiążąca na etapie realizacji zamówienia.</w:t>
            </w:r>
          </w:p>
          <w:p w14:paraId="40816690" w14:textId="0B4F0EF2" w:rsidR="008A2B3C" w:rsidRPr="009B1A06" w:rsidRDefault="008A2B3C" w:rsidP="009B1A0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Z uwagi na terminy wynikające z art. 135 ust. 2 ustawy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 uprzejmie prosimy o udzielenie odpowiedzi w ustawowym terminie. Odpowiedzi na powyższe pytania mają istotne znaczenie dla prawidłowej wyceny oferty oraz zapewnienia porównywalności ofert w postępowaniu.</w:t>
            </w:r>
          </w:p>
          <w:p w14:paraId="00E21275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Pytanie nr 5 – specyfikacja oferowanej konfiguracji </w:t>
            </w:r>
          </w:p>
          <w:p w14:paraId="220EB437" w14:textId="77777777" w:rsidR="008A2B3C" w:rsidRPr="009B1A06" w:rsidRDefault="008A2B3C" w:rsidP="001F26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Przedmiotem zamówienia jest kompletna platforma obliczeniowa — serwer, akceleratory GPU,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firmware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 oraz bazowe oprogramowanie wsparcia AI - eksploatowana w sposób ciągły w środowisku produkcyjnym z możliwością pełnego odizolowania od Internetu (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air-gapped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>).</w:t>
            </w:r>
          </w:p>
          <w:p w14:paraId="777E27EB" w14:textId="671748A3" w:rsidR="008A2B3C" w:rsidRDefault="008A2B3C" w:rsidP="003628E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B1A06">
              <w:rPr>
                <w:rFonts w:ascii="Verdana" w:hAnsi="Verdana"/>
                <w:sz w:val="18"/>
                <w:szCs w:val="18"/>
              </w:rPr>
              <w:t xml:space="preserve">W związku z powyższym prosimy o wyjaśnienie, czy Zamawiający wymaga, aby odpowiedzialność serwisowa za sprawne działanie całości zamówienia w aspekcie sprzętowym, GPU,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firmware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 i oprogramowania spoczywała na jednym producencie oferującym całość rozwiązania jako swój własny produkt, z własnym dostępem technicznym (wykluczony jest dostęp kontraktowy lub  pośredniczący) do wszystkich warstw rozwiązania oraz zdolnością do diagnozowania i usuwania usterek a także przygotowywania i wdrażania aktualizacji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firmware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 i oprogramowania we własnym zakresie, w reżimie </w:t>
            </w:r>
            <w:proofErr w:type="spellStart"/>
            <w:r w:rsidRPr="009B1A06">
              <w:rPr>
                <w:rFonts w:ascii="Verdana" w:hAnsi="Verdana"/>
                <w:sz w:val="18"/>
                <w:szCs w:val="18"/>
              </w:rPr>
              <w:t>air-gapped</w:t>
            </w:r>
            <w:proofErr w:type="spellEnd"/>
            <w:r w:rsidRPr="009B1A06">
              <w:rPr>
                <w:rFonts w:ascii="Verdana" w:hAnsi="Verdana"/>
                <w:sz w:val="18"/>
                <w:szCs w:val="18"/>
              </w:rPr>
              <w:t xml:space="preserve"> — bez odsyłania Zamawiającego do producentów poszczególnych komponentów?</w:t>
            </w:r>
          </w:p>
          <w:p w14:paraId="35B37533" w14:textId="77777777" w:rsidR="003628EC" w:rsidRPr="009B1A06" w:rsidRDefault="003628EC" w:rsidP="003628E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3891026" w14:textId="77777777" w:rsidR="008A2B3C" w:rsidRDefault="008A2B3C" w:rsidP="009B1A0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B1A0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170C574" w14:textId="6E4A6BDA" w:rsidR="009B1A06" w:rsidRPr="009B1A06" w:rsidRDefault="009B1A06" w:rsidP="009B1A0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4613F04B" w14:textId="0BD41B68" w:rsidR="00DF1C2F" w:rsidRDefault="009B1A06" w:rsidP="009B1A06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lastRenderedPageBreak/>
        <w:t xml:space="preserve">ad.1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 xml:space="preserve">Zamawiający nie wyraża zgody na wydłużenie maksymalnego terminu realizacji zamówienia do 36 tygodni. Termin realizacji zamówienia wynoszący maksymalnie 21 dni od dnia otrzymania przez Wykonawcę zamówienia potwierdzonego przez </w:t>
      </w:r>
      <w:proofErr w:type="spellStart"/>
      <w:r w:rsidRPr="009B1A06">
        <w:rPr>
          <w:rFonts w:ascii="Verdana" w:hAnsi="Verdana"/>
          <w:sz w:val="18"/>
          <w:szCs w:val="18"/>
        </w:rPr>
        <w:t>MNiSW</w:t>
      </w:r>
      <w:proofErr w:type="spellEnd"/>
      <w:r w:rsidRPr="009B1A06">
        <w:rPr>
          <w:rFonts w:ascii="Verdana" w:hAnsi="Verdana"/>
          <w:sz w:val="18"/>
          <w:szCs w:val="18"/>
        </w:rPr>
        <w:t xml:space="preserve"> pozostaje bez zmian. </w:t>
      </w:r>
      <w:r w:rsidRPr="009B1A06">
        <w:rPr>
          <w:rFonts w:ascii="Verdana" w:hAnsi="Verdana"/>
          <w:sz w:val="18"/>
          <w:szCs w:val="18"/>
        </w:rPr>
        <w:br/>
        <w:t xml:space="preserve">Utrzymanie wskazanego terminu wynika z obiektywnych i niezależnych od Zamawiającego ograniczeń czasowych związanych z harmonogramem projektu, w ramach którego planowany jest zakup przedmiotowego sprzętu. Wydłużenie terminu realizacji w zakresie zaproponowanym przez Wykonawcę uniemożliwiłoby terminową realizację zadań projektowych oraz wykorzystanie </w:t>
      </w:r>
      <w:proofErr w:type="spellStart"/>
      <w:r w:rsidRPr="009B1A06">
        <w:rPr>
          <w:rFonts w:ascii="Verdana" w:hAnsi="Verdana"/>
          <w:sz w:val="18"/>
          <w:szCs w:val="18"/>
        </w:rPr>
        <w:t>sprzętuzgodnie</w:t>
      </w:r>
      <w:proofErr w:type="spellEnd"/>
      <w:r w:rsidRPr="009B1A06">
        <w:rPr>
          <w:rFonts w:ascii="Verdana" w:hAnsi="Verdana"/>
          <w:sz w:val="18"/>
          <w:szCs w:val="18"/>
        </w:rPr>
        <w:t xml:space="preserve"> z przeznaczeniem i harmonogramem rzeczowo-finansowym projektu.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 xml:space="preserve">ad.2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>Zamawiający nie wyraża zgody na rezygnację z kryterium oceny ofert „Termin realizacji zamówienia”,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zmianę jego wagi ani zmianę określonej w SWZ skali punktowej. Kryterium „Termin realizacji zamówienia”, któremu przypisano wagę 20%, pozostaje bez zmian. </w:t>
      </w:r>
      <w:r w:rsidRPr="009B1A06">
        <w:rPr>
          <w:rFonts w:ascii="Verdana" w:hAnsi="Verdana"/>
          <w:sz w:val="18"/>
          <w:szCs w:val="18"/>
        </w:rPr>
        <w:br/>
        <w:t xml:space="preserve">Termin dostawy ma dla Zamawiającego istotne znaczenie ze względu na harmonogram projektu, w ramach którego dokonywany jest zakup sprzętu. Wcześniejsze dostarczenie kompletnego i gotowego do użytkowania przedmiotu zamówienia pozwoli na wcześniejsze rozpoczęcie zaplanowanych prac, ograniczy ryzyko opóźnienia zadań projektowych oraz zwiększy prawdopodobieństwo ich prawidłowej i terminowej realizacji. Wbrew stanowisku przedstawionemu w pytaniu różnica pomiędzy dostawą w terminie 11 dni a dostawą w terminie 21 dni ma dla Zamawiającego wymierną wartość użytkową i organizacyjną. Każdy dzień wcześniejszej dostawy zwiększa czas dostępny na instalację, konfigurację, uruchomienie, przeprowadzenie testów odbiorowych oraz wykorzystanie infrastruktury w ramach zaplanowanych zadań projektowych. </w:t>
      </w:r>
      <w:r w:rsidRPr="009B1A06">
        <w:rPr>
          <w:rFonts w:ascii="Verdana" w:hAnsi="Verdana"/>
          <w:sz w:val="18"/>
          <w:szCs w:val="18"/>
        </w:rPr>
        <w:br/>
        <w:t xml:space="preserve">Okoliczność, że początek terminu realizacji został powiązany z otrzymaniem przez Wykonawcę zamówienia potwierdzonego przez </w:t>
      </w:r>
      <w:proofErr w:type="spellStart"/>
      <w:r w:rsidRPr="009B1A06">
        <w:rPr>
          <w:rFonts w:ascii="Verdana" w:hAnsi="Verdana"/>
          <w:sz w:val="18"/>
          <w:szCs w:val="18"/>
        </w:rPr>
        <w:t>MNiSW</w:t>
      </w:r>
      <w:proofErr w:type="spellEnd"/>
      <w:r w:rsidRPr="009B1A06">
        <w:rPr>
          <w:rFonts w:ascii="Verdana" w:hAnsi="Verdana"/>
          <w:sz w:val="18"/>
          <w:szCs w:val="18"/>
        </w:rPr>
        <w:t>, nie pozbawia tego kryterium znaczenia. Wszyscy Wykonawcy będą obliczać termin realizacji od tego samego, jednoznacznie określonego zdarzenia,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>a zatem będą oceniani na jednakowych zasadach.</w:t>
      </w:r>
      <w:r w:rsidR="008D1F93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Zamawiający nie wymaga od każdego Wykonawcy zaoferowania terminu krótszego niż 21 dni. Wykonawca może zaoferować termin odpowiadający jego rzeczywistym możliwościom organizacyjnym i logistycznym. Zaoferowanie terminu 21 dni oznacza spełnienie minimalnego wymagania Zamawiającego, natomiast zaoferowanie terminu krótszego podlega dodatkowej ocenie punktowej zgodnie z zasadami określonymi w SWZ. Zamawiający nie podziela stanowiska, że kryterium to z założenia premiuje </w:t>
      </w:r>
      <w:r w:rsidRPr="009B1A06">
        <w:rPr>
          <w:rFonts w:ascii="Verdana" w:hAnsi="Verdana"/>
          <w:sz w:val="18"/>
          <w:szCs w:val="18"/>
        </w:rPr>
        <w:lastRenderedPageBreak/>
        <w:t>deklaracje niemożliwe do wykonania. Krótszy termin realizacji może wynikać między innymi z dostępności oferowanego urządzenia lub jego komponentów, sprawnej organizacji łańcucha dostaw, gotowości produkcyjnej, potencjału logistycznego albo wcześniejszego zabezpieczenia wymaganej konfiguracji.</w:t>
      </w:r>
      <w:r w:rsidR="00E2761A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>Są to okoliczności pozostające w związku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>ze sposobem realizacji</w:t>
      </w:r>
      <w:r w:rsidR="00E2761A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zamówienia i przedstawiające wartość dla Zamawiającego.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 xml:space="preserve">ad.3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 xml:space="preserve">Zamawiający potwierdza, że licencje na oprogramowanie, o którym mowa w pkt 2.10 Opisu przedmiotu zamówienia, muszą obejmować cały okres gwarancji zaoferowany przez Wykonawcę.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>Oznacza to, że jeżeli Wykonawca zaoferuje okres gwarancji dłuższy niż minimalne 36 miesięcy, okres obowiązywania licencji na wymagane oprogramowanie musi zostać odpowiednio dostosowany i nie może być krótszy niż zaoferowany okres gwarancji. Koszt wszystkich wymaganych licencji, subskrypcji, uprawnień do aktualizacji i dostępu do oprogramowania w całym zaoferowanym okresie gwarancji musi zostać uwzględniony w cenie oferty. Zamawiający nie przewiduje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ponoszenia w tym okresie dodatkowych kosztów nieujętych w cenie oferty.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 xml:space="preserve">ad.4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>Zamawiający potwierdza, że w przypadku zaoferowania serwera konfigurowanego na zamówienie, w szczególności w formule CTO, samo wskazanie producenta i modelu serwera nie jest wystarczające. Wykonawca zobowiązany będzie załączyć do oferty pełną specyfikację oferowanej konfiguracji sprzętowej i programowej, umożliwiającą jednoznaczną identyfikację wszystkich istotnych elementów oferowanego rozwiązania i weryfikację jego zgodności z wymaganiami Zamawiającego.</w:t>
      </w:r>
      <w:r w:rsidR="00DF1C2F">
        <w:rPr>
          <w:rFonts w:ascii="Verdana" w:hAnsi="Verdana"/>
          <w:sz w:val="18"/>
          <w:szCs w:val="18"/>
        </w:rPr>
        <w:t xml:space="preserve"> </w:t>
      </w:r>
    </w:p>
    <w:p w14:paraId="53CCEBC4" w14:textId="77777777" w:rsidR="00DF1C2F" w:rsidRDefault="00DF1C2F" w:rsidP="009B1A06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</w:p>
    <w:p w14:paraId="5BEDA69E" w14:textId="77777777" w:rsidR="00DF1C2F" w:rsidRDefault="009B1A06" w:rsidP="009B1A06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Specyfikacja powinna obejmować co najmniej: </w:t>
      </w:r>
    </w:p>
    <w:p w14:paraId="5EA155CC" w14:textId="77777777" w:rsidR="00DF1C2F" w:rsidRDefault="00DF1C2F" w:rsidP="009B1A06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</w:p>
    <w:p w14:paraId="0793F674" w14:textId="471DD5D6" w:rsidR="009B1A06" w:rsidRDefault="009B1A06" w:rsidP="009B1A06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-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producenta i model serwera; </w:t>
      </w:r>
    </w:p>
    <w:p w14:paraId="57EBE569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</w:t>
      </w:r>
      <w:r w:rsidRPr="009B1A06">
        <w:rPr>
          <w:rFonts w:ascii="Verdana" w:hAnsi="Verdana"/>
          <w:sz w:val="18"/>
          <w:szCs w:val="18"/>
        </w:rPr>
        <w:t xml:space="preserve">oznaczenie oferowanej konfiguracji, jeżeli producent stosuje takie oznaczenie; </w:t>
      </w:r>
    </w:p>
    <w:p w14:paraId="7AD2E8FD" w14:textId="77777777" w:rsidR="00CA5078" w:rsidRDefault="00B346FF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</w:t>
      </w:r>
      <w:r w:rsidR="009B1A06" w:rsidRPr="009B1A06">
        <w:rPr>
          <w:rFonts w:ascii="Verdana" w:hAnsi="Verdana"/>
          <w:sz w:val="18"/>
          <w:szCs w:val="18"/>
        </w:rPr>
        <w:t xml:space="preserve">procesory CPU – typ, model i liczbę; </w:t>
      </w:r>
    </w:p>
    <w:p w14:paraId="4211E405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-akceleratory</w:t>
      </w:r>
      <w:r w:rsidR="00B346FF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GPU – typ, model i liczbę; </w:t>
      </w:r>
    </w:p>
    <w:p w14:paraId="7C34943C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moduły pamięci operacyjnej – typ, pojemność pojedynczego modułu, liczbę i łączną pojemność; </w:t>
      </w:r>
    </w:p>
    <w:p w14:paraId="7E5459EA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dyski systemowe i dyski przeznaczone na dane – typ, pojemność i liczbę; </w:t>
      </w:r>
    </w:p>
    <w:p w14:paraId="3EC2A265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-kontrolery pamięci masowej; </w:t>
      </w:r>
    </w:p>
    <w:p w14:paraId="5CE2D0A9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-karty i interfejsy sieciowe, w tym DPU – jeżeli występują; </w:t>
      </w:r>
    </w:p>
    <w:p w14:paraId="6ACCAEBC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-komponenty realizujące komunikację pomiędzy akceleratorami GPU; </w:t>
      </w:r>
    </w:p>
    <w:p w14:paraId="05596D2E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-zasilacze – liczbę, moc i sposób zapewnienia redundancji; </w:t>
      </w:r>
    </w:p>
    <w:p w14:paraId="44A32038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-elementy systemu chłodzenia istotne dla spełnienia wymagań OPZ; </w:t>
      </w:r>
    </w:p>
    <w:p w14:paraId="0FC92D02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-system operacyjny – nazwę, wersję, edycję i architekturę; </w:t>
      </w:r>
    </w:p>
    <w:p w14:paraId="48AAD0D3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-oprogramowanie wymagane w pkt 2.10 OPZ; </w:t>
      </w:r>
    </w:p>
    <w:p w14:paraId="55BA1762" w14:textId="77777777" w:rsidR="00CA507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-licencje, subskrypcje i pakiety wsparcia wraz z okresem ich obowiązywania; </w:t>
      </w:r>
    </w:p>
    <w:p w14:paraId="202DE5CC" w14:textId="77777777" w:rsidR="00DF1C2F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-</w:t>
      </w:r>
      <w:r w:rsidR="00DF1C2F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inne komponenty niezbędne do uzyskania wymaganej funkcjonalności i wydajności systemu. </w:t>
      </w:r>
    </w:p>
    <w:p w14:paraId="69890F43" w14:textId="77777777" w:rsidR="00DF1C2F" w:rsidRDefault="00DF1C2F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</w:p>
    <w:p w14:paraId="681B4269" w14:textId="77777777" w:rsidR="00DF1C2F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Dla każdego elementu należy podać – o ile producent nadaje takie oznaczenia – numer katalogowy</w:t>
      </w:r>
      <w:r w:rsidR="00B346FF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lub part </w:t>
      </w:r>
      <w:proofErr w:type="spellStart"/>
      <w:r w:rsidRPr="009B1A06">
        <w:rPr>
          <w:rFonts w:ascii="Verdana" w:hAnsi="Verdana"/>
          <w:sz w:val="18"/>
          <w:szCs w:val="18"/>
        </w:rPr>
        <w:t>number</w:t>
      </w:r>
      <w:proofErr w:type="spellEnd"/>
      <w:r w:rsidRPr="009B1A06">
        <w:rPr>
          <w:rFonts w:ascii="Verdana" w:hAnsi="Verdana"/>
          <w:sz w:val="18"/>
          <w:szCs w:val="18"/>
        </w:rPr>
        <w:t xml:space="preserve">, opis oraz liczbę sztuk. </w:t>
      </w:r>
    </w:p>
    <w:p w14:paraId="0A55D296" w14:textId="77777777" w:rsidR="00DE14F7" w:rsidRDefault="00DE14F7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</w:p>
    <w:p w14:paraId="56BCFAA5" w14:textId="281E5519" w:rsidR="00DE14F7" w:rsidRPr="00DE14F7" w:rsidRDefault="00DE14F7" w:rsidP="00CA5078">
      <w:pPr>
        <w:tabs>
          <w:tab w:val="left" w:pos="1276"/>
        </w:tabs>
        <w:jc w:val="both"/>
        <w:rPr>
          <w:rFonts w:ascii="Verdana" w:hAnsi="Verdana"/>
          <w:b/>
          <w:bCs/>
          <w:sz w:val="18"/>
          <w:szCs w:val="18"/>
        </w:rPr>
      </w:pPr>
      <w:r w:rsidRPr="00DE14F7">
        <w:rPr>
          <w:rFonts w:ascii="Verdana" w:hAnsi="Verdana"/>
          <w:b/>
          <w:bCs/>
          <w:sz w:val="18"/>
          <w:szCs w:val="18"/>
        </w:rPr>
        <w:t>W związku z powyższym Zamawiający zmienia SWZ w następujący sposób:</w:t>
      </w:r>
    </w:p>
    <w:p w14:paraId="0B8461E0" w14:textId="77777777" w:rsidR="00CE60F7" w:rsidRDefault="00CE60F7" w:rsidP="00CA5078">
      <w:pPr>
        <w:tabs>
          <w:tab w:val="left" w:pos="127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5EF88B3D" w14:textId="3EA643D0" w:rsidR="00DE14F7" w:rsidRDefault="00DE14F7" w:rsidP="00CA5078">
      <w:pPr>
        <w:tabs>
          <w:tab w:val="left" w:pos="1276"/>
        </w:tabs>
        <w:jc w:val="both"/>
        <w:rPr>
          <w:rFonts w:ascii="Verdana" w:hAnsi="Verdana"/>
          <w:b/>
          <w:bCs/>
          <w:sz w:val="18"/>
          <w:szCs w:val="18"/>
        </w:rPr>
      </w:pPr>
      <w:r w:rsidRPr="00DE14F7">
        <w:rPr>
          <w:rFonts w:ascii="Verdana" w:hAnsi="Verdana"/>
          <w:b/>
          <w:bCs/>
          <w:sz w:val="18"/>
          <w:szCs w:val="18"/>
        </w:rPr>
        <w:t>W pkt. 4.14. SWZ jest:</w:t>
      </w:r>
    </w:p>
    <w:p w14:paraId="0028B372" w14:textId="77777777" w:rsidR="00914F64" w:rsidRPr="00914F64" w:rsidRDefault="00914F64" w:rsidP="00914F64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914F64">
        <w:rPr>
          <w:rFonts w:ascii="Verdana" w:hAnsi="Verdana"/>
          <w:bCs/>
          <w:iCs/>
          <w:color w:val="000000"/>
          <w:sz w:val="18"/>
          <w:szCs w:val="18"/>
        </w:rPr>
        <w:t xml:space="preserve">Wykonawca zobowiązany jest do jednoznacznego określenia zaoferowanych w ofercie produktów </w:t>
      </w:r>
      <w:r w:rsidRPr="00914F64">
        <w:rPr>
          <w:rFonts w:ascii="Verdana" w:hAnsi="Verdana"/>
          <w:b/>
          <w:iCs/>
          <w:color w:val="000000"/>
          <w:sz w:val="18"/>
          <w:szCs w:val="18"/>
        </w:rPr>
        <w:t xml:space="preserve">tj. serwera </w:t>
      </w:r>
      <w:r w:rsidRPr="00914F64">
        <w:rPr>
          <w:rFonts w:ascii="Verdana" w:hAnsi="Verdana"/>
          <w:bCs/>
          <w:iCs/>
          <w:color w:val="000000"/>
          <w:sz w:val="18"/>
          <w:szCs w:val="18"/>
        </w:rPr>
        <w:t xml:space="preserve">charakteryzując go poprzez wskazanie na konkretny wyrób (producenta, model) </w:t>
      </w:r>
      <w:r w:rsidRPr="00914F64">
        <w:rPr>
          <w:rFonts w:ascii="Verdana" w:hAnsi="Verdana"/>
          <w:bCs/>
          <w:iCs/>
          <w:color w:val="00000A"/>
          <w:sz w:val="18"/>
          <w:szCs w:val="18"/>
        </w:rPr>
        <w:t>– zgodnie z załącznikiem nr 1 do SWZ.</w:t>
      </w:r>
    </w:p>
    <w:p w14:paraId="786E3039" w14:textId="77777777" w:rsidR="00914F64" w:rsidRPr="00DE14F7" w:rsidRDefault="00914F64" w:rsidP="00CA5078">
      <w:pPr>
        <w:tabs>
          <w:tab w:val="left" w:pos="127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126E4672" w14:textId="0E87E3E3" w:rsidR="00DE14F7" w:rsidRDefault="00DE14F7" w:rsidP="00CA5078">
      <w:pPr>
        <w:tabs>
          <w:tab w:val="left" w:pos="1276"/>
        </w:tabs>
        <w:jc w:val="both"/>
        <w:rPr>
          <w:rFonts w:ascii="Verdana" w:hAnsi="Verdana"/>
          <w:b/>
          <w:bCs/>
          <w:sz w:val="18"/>
          <w:szCs w:val="18"/>
        </w:rPr>
      </w:pPr>
      <w:r w:rsidRPr="00DE14F7">
        <w:rPr>
          <w:rFonts w:ascii="Verdana" w:hAnsi="Verdana"/>
          <w:b/>
          <w:bCs/>
          <w:sz w:val="18"/>
          <w:szCs w:val="18"/>
        </w:rPr>
        <w:t>Powyższy zapis otrzymuje nowe brzmienie:</w:t>
      </w:r>
    </w:p>
    <w:p w14:paraId="06316C11" w14:textId="77777777" w:rsidR="00914F64" w:rsidRDefault="00914F64" w:rsidP="00914F64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A"/>
          <w:sz w:val="18"/>
          <w:szCs w:val="18"/>
        </w:rPr>
      </w:pPr>
      <w:r w:rsidRPr="00914F64">
        <w:rPr>
          <w:rFonts w:ascii="Verdana" w:hAnsi="Verdana"/>
          <w:bCs/>
          <w:iCs/>
          <w:color w:val="000000"/>
          <w:sz w:val="18"/>
          <w:szCs w:val="18"/>
        </w:rPr>
        <w:t xml:space="preserve">Wykonawca zobowiązany jest do jednoznacznego określenia zaoferowanych w ofercie produktów </w:t>
      </w:r>
      <w:r w:rsidRPr="00914F64">
        <w:rPr>
          <w:rFonts w:ascii="Verdana" w:hAnsi="Verdana"/>
          <w:b/>
          <w:iCs/>
          <w:color w:val="000000"/>
          <w:sz w:val="18"/>
          <w:szCs w:val="18"/>
        </w:rPr>
        <w:t xml:space="preserve">tj. serwera </w:t>
      </w:r>
      <w:r w:rsidRPr="00914F64">
        <w:rPr>
          <w:rFonts w:ascii="Verdana" w:hAnsi="Verdana"/>
          <w:bCs/>
          <w:iCs/>
          <w:color w:val="000000"/>
          <w:sz w:val="18"/>
          <w:szCs w:val="18"/>
        </w:rPr>
        <w:t xml:space="preserve">charakteryzując go poprzez wskazanie na konkretny wyrób (producenta, model) </w:t>
      </w:r>
      <w:r w:rsidRPr="00914F64">
        <w:rPr>
          <w:rFonts w:ascii="Verdana" w:hAnsi="Verdana"/>
          <w:bCs/>
          <w:iCs/>
          <w:color w:val="00000A"/>
          <w:sz w:val="18"/>
          <w:szCs w:val="18"/>
        </w:rPr>
        <w:t>– zgodnie z załącznikiem nr 1 do SWZ.</w:t>
      </w:r>
    </w:p>
    <w:p w14:paraId="413A66D2" w14:textId="1A5D88EA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</w:t>
      </w:r>
      <w:r w:rsidRPr="009B1A06">
        <w:rPr>
          <w:rFonts w:ascii="Verdana" w:hAnsi="Verdana"/>
          <w:sz w:val="18"/>
          <w:szCs w:val="18"/>
        </w:rPr>
        <w:t xml:space="preserve"> przypadku zaoferowania serwera konfigurowanego na zamówienie, w szczególności w formule CTO, Wykonawca zobowiązany będzie załączyć do oferty pełną specyfikację oferowanej konfiguracji </w:t>
      </w:r>
      <w:r w:rsidRPr="009B1A06">
        <w:rPr>
          <w:rFonts w:ascii="Verdana" w:hAnsi="Verdana"/>
          <w:sz w:val="18"/>
          <w:szCs w:val="18"/>
        </w:rPr>
        <w:lastRenderedPageBreak/>
        <w:t>sprzętowej i programowej, umożliwiającą jednoznaczną identyfikację wszystkich istotnych elementów oferowanego rozwiązania i weryfikację jego zgodności z wymaganiami Zamawiającego.</w:t>
      </w:r>
      <w:r>
        <w:rPr>
          <w:rFonts w:ascii="Verdana" w:hAnsi="Verdana"/>
          <w:sz w:val="18"/>
          <w:szCs w:val="18"/>
        </w:rPr>
        <w:t xml:space="preserve"> </w:t>
      </w:r>
    </w:p>
    <w:p w14:paraId="78875064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</w:p>
    <w:p w14:paraId="7A23FED1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Specyfikacja powinna obejmować co najmniej: </w:t>
      </w:r>
    </w:p>
    <w:p w14:paraId="51F386BE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</w:p>
    <w:p w14:paraId="068519BE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-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producenta i model serwera; </w:t>
      </w:r>
    </w:p>
    <w:p w14:paraId="3B394505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</w:t>
      </w:r>
      <w:r w:rsidRPr="009B1A06">
        <w:rPr>
          <w:rFonts w:ascii="Verdana" w:hAnsi="Verdana"/>
          <w:sz w:val="18"/>
          <w:szCs w:val="18"/>
        </w:rPr>
        <w:t xml:space="preserve">oznaczenie oferowanej konfiguracji, jeżeli producent stosuje takie oznaczenie; </w:t>
      </w:r>
    </w:p>
    <w:p w14:paraId="1F19B719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</w:t>
      </w:r>
      <w:r w:rsidRPr="009B1A06">
        <w:rPr>
          <w:rFonts w:ascii="Verdana" w:hAnsi="Verdana"/>
          <w:sz w:val="18"/>
          <w:szCs w:val="18"/>
        </w:rPr>
        <w:t xml:space="preserve">procesory CPU – typ, model i liczbę; </w:t>
      </w:r>
    </w:p>
    <w:p w14:paraId="3891EB3C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-akceleratory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GPU – typ, model i liczbę; </w:t>
      </w:r>
    </w:p>
    <w:p w14:paraId="50FA3CA1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moduły pamięci operacyjnej – typ, pojemność pojedynczego modułu, liczbę i łączną pojemność; </w:t>
      </w:r>
    </w:p>
    <w:p w14:paraId="2AF4D28B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dyski systemowe i dyski przeznaczone na dane – typ, pojemność i liczbę; </w:t>
      </w:r>
    </w:p>
    <w:p w14:paraId="0D3DE11C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-kontrolery pamięci masowej; </w:t>
      </w:r>
    </w:p>
    <w:p w14:paraId="19F1B502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-karty i interfejsy sieciowe, w tym DPU – jeżeli występują; </w:t>
      </w:r>
    </w:p>
    <w:p w14:paraId="68B9CC4A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-komponenty realizujące komunikację pomiędzy akceleratorami GPU; </w:t>
      </w:r>
    </w:p>
    <w:p w14:paraId="3ADF266C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-zasilacze – liczbę, moc i sposób zapewnienia redundancji; </w:t>
      </w:r>
    </w:p>
    <w:p w14:paraId="1DD1DA86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-elementy systemu chłodzenia istotne dla spełnienia wymagań OPZ; </w:t>
      </w:r>
    </w:p>
    <w:p w14:paraId="16B8FFA1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-system operacyjny – nazwę, wersję, edycję i architekturę; </w:t>
      </w:r>
    </w:p>
    <w:p w14:paraId="523378C3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-oprogramowanie wymagane w pkt 2.10 OPZ; </w:t>
      </w:r>
    </w:p>
    <w:p w14:paraId="1BACB04D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-licencje, subskrypcje i pakiety wsparcia wraz z okresem ich obowiązywania; </w:t>
      </w:r>
    </w:p>
    <w:p w14:paraId="4AF43D2F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-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inne komponenty niezbędne do uzyskania wymaganej funkcjonalności i wydajności systemu. </w:t>
      </w:r>
    </w:p>
    <w:p w14:paraId="16DC0B4B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</w:p>
    <w:p w14:paraId="12AA0036" w14:textId="77777777" w:rsidR="00914F64" w:rsidRDefault="00914F64" w:rsidP="00914F64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Dla każdego elementu należy podać – o ile producent nadaje takie oznaczenia – numer katalogowy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lub part </w:t>
      </w:r>
      <w:proofErr w:type="spellStart"/>
      <w:r w:rsidRPr="009B1A06">
        <w:rPr>
          <w:rFonts w:ascii="Verdana" w:hAnsi="Verdana"/>
          <w:sz w:val="18"/>
          <w:szCs w:val="18"/>
        </w:rPr>
        <w:t>number</w:t>
      </w:r>
      <w:proofErr w:type="spellEnd"/>
      <w:r w:rsidRPr="009B1A06">
        <w:rPr>
          <w:rFonts w:ascii="Verdana" w:hAnsi="Verdana"/>
          <w:sz w:val="18"/>
          <w:szCs w:val="18"/>
        </w:rPr>
        <w:t xml:space="preserve">, opis oraz liczbę sztuk. </w:t>
      </w:r>
    </w:p>
    <w:p w14:paraId="5E21709D" w14:textId="77777777" w:rsidR="00914F64" w:rsidRPr="00DE14F7" w:rsidRDefault="00914F64" w:rsidP="00CA5078">
      <w:pPr>
        <w:tabs>
          <w:tab w:val="left" w:pos="127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4FC7B1B7" w14:textId="77777777" w:rsidR="00DF1C2F" w:rsidRDefault="00DF1C2F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</w:p>
    <w:p w14:paraId="15821634" w14:textId="77777777" w:rsidR="009D7F88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ad.5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 xml:space="preserve">Zamawiający potwierdza, że przedmiot zamówienia musi stanowić kompletną, zintegrowaną i prawidłowo działającą platformę obliczeniową, obejmującą serwer, akceleratory GPU, pozostałe komponenty sprzętowe, </w:t>
      </w:r>
      <w:proofErr w:type="spellStart"/>
      <w:r w:rsidRPr="009B1A06">
        <w:rPr>
          <w:rFonts w:ascii="Verdana" w:hAnsi="Verdana"/>
          <w:sz w:val="18"/>
          <w:szCs w:val="18"/>
        </w:rPr>
        <w:t>firmware</w:t>
      </w:r>
      <w:proofErr w:type="spellEnd"/>
      <w:r w:rsidRPr="009B1A06">
        <w:rPr>
          <w:rFonts w:ascii="Verdana" w:hAnsi="Verdana"/>
          <w:sz w:val="18"/>
          <w:szCs w:val="18"/>
        </w:rPr>
        <w:t xml:space="preserve">, system operacyjny, sterowniki oraz wymagane oprogramowanie.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>Zamawiający wymaga, aby przez cały zaoferowany okres gwarancji Wykonawca ponosił wobec Zamawiającego pełną odpowiedzialność za prawidłowe działanie całego dostarczonego rozwiązania,</w:t>
      </w:r>
    </w:p>
    <w:p w14:paraId="5089B11C" w14:textId="7261302D" w:rsidR="008D1139" w:rsidRDefault="009B1A06" w:rsidP="00CA5078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>niezależnie od liczby producentów poszczególnych komponentów.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>W</w:t>
      </w:r>
      <w:r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szczególności: </w:t>
      </w:r>
      <w:r w:rsidRPr="009B1A06">
        <w:rPr>
          <w:rFonts w:ascii="Verdana" w:hAnsi="Verdana"/>
          <w:sz w:val="18"/>
          <w:szCs w:val="18"/>
        </w:rPr>
        <w:br/>
      </w:r>
      <w:r w:rsidRPr="009B1A06">
        <w:rPr>
          <w:rFonts w:ascii="Verdana" w:hAnsi="Verdana"/>
          <w:sz w:val="18"/>
          <w:szCs w:val="18"/>
        </w:rPr>
        <w:br/>
        <w:t xml:space="preserve">- Zamawiający nie może być zobowiązany do samodzielnego ustalania przyczyny usterki ani wskazywania producenta komponentu odpowiedzialnego za jej usunięcie; </w:t>
      </w:r>
    </w:p>
    <w:p w14:paraId="745D4A45" w14:textId="77777777" w:rsidR="0048786A" w:rsidRDefault="009B1A06" w:rsidP="0048786A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Wykonawca będzie stanowił jeden punkt kontaktu dla wszystkich zgłoszeń dotyczących sprzętu, akceleratorów GPU, </w:t>
      </w:r>
      <w:proofErr w:type="spellStart"/>
      <w:r w:rsidRPr="009B1A06">
        <w:rPr>
          <w:rFonts w:ascii="Verdana" w:hAnsi="Verdana"/>
          <w:sz w:val="18"/>
          <w:szCs w:val="18"/>
        </w:rPr>
        <w:t>firmware</w:t>
      </w:r>
      <w:proofErr w:type="spellEnd"/>
      <w:r w:rsidRPr="009B1A06">
        <w:rPr>
          <w:rFonts w:ascii="Verdana" w:hAnsi="Verdana"/>
          <w:sz w:val="18"/>
          <w:szCs w:val="18"/>
        </w:rPr>
        <w:t xml:space="preserve">, sterowników, systemu operacyjnego i oprogramowania objętego zamówieniem; </w:t>
      </w:r>
      <w:r w:rsidRPr="009B1A06">
        <w:rPr>
          <w:rFonts w:ascii="Verdana" w:hAnsi="Verdana"/>
          <w:sz w:val="18"/>
          <w:szCs w:val="18"/>
        </w:rPr>
        <w:br/>
        <w:t>- Wykonawca odpowiada za koordynowanie współpracy z producentami komponentów i podmiotami</w:t>
      </w:r>
      <w:r w:rsidR="00CA5078">
        <w:rPr>
          <w:rFonts w:ascii="Verdana" w:hAnsi="Verdana"/>
          <w:sz w:val="18"/>
          <w:szCs w:val="18"/>
        </w:rPr>
        <w:t xml:space="preserve"> </w:t>
      </w:r>
      <w:r w:rsidRPr="009B1A06">
        <w:rPr>
          <w:rFonts w:ascii="Verdana" w:hAnsi="Verdana"/>
          <w:sz w:val="18"/>
          <w:szCs w:val="18"/>
        </w:rPr>
        <w:t xml:space="preserve">świadczącymi autoryzowane wsparcie; </w:t>
      </w:r>
    </w:p>
    <w:p w14:paraId="35A0814B" w14:textId="65727E1F" w:rsidR="0048786A" w:rsidRDefault="009B1A06" w:rsidP="0048786A">
      <w:pPr>
        <w:tabs>
          <w:tab w:val="left" w:pos="127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przekazywanie zgłoszeń pomiędzy producentami lub podmiotami serwisowymi nie może powodować ograniczenia odpowiedzialności Wykonawcy ani przerwania biegu terminów obsługi zgłoszenia; </w:t>
      </w:r>
    </w:p>
    <w:p w14:paraId="4C8EE23C" w14:textId="77777777" w:rsidR="0048786A" w:rsidRDefault="009B1A06" w:rsidP="00B346FF">
      <w:pPr>
        <w:tabs>
          <w:tab w:val="left" w:pos="142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aktualizacje </w:t>
      </w:r>
      <w:proofErr w:type="spellStart"/>
      <w:r w:rsidRPr="009B1A06">
        <w:rPr>
          <w:rFonts w:ascii="Verdana" w:hAnsi="Verdana"/>
          <w:sz w:val="18"/>
          <w:szCs w:val="18"/>
        </w:rPr>
        <w:t>firmware</w:t>
      </w:r>
      <w:proofErr w:type="spellEnd"/>
      <w:r w:rsidRPr="009B1A06">
        <w:rPr>
          <w:rFonts w:ascii="Verdana" w:hAnsi="Verdana"/>
          <w:sz w:val="18"/>
          <w:szCs w:val="18"/>
        </w:rPr>
        <w:t xml:space="preserve">, sterowników i oprogramowania muszą być możliwe do przygotowania i wdrożenia w środowisku odizolowanym od Internetu; </w:t>
      </w:r>
    </w:p>
    <w:p w14:paraId="09FE62F9" w14:textId="77777777" w:rsidR="0048786A" w:rsidRDefault="009B1A06" w:rsidP="00B346FF">
      <w:pPr>
        <w:tabs>
          <w:tab w:val="left" w:pos="142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realizacja wsparcia nie może wymagać stałego ani okresowego połączenia systemu z zewnętrznymi serwerami producentów, z wyjątkiem sytuacji każdorazowo zaakceptowanych przez Zamawiającego; </w:t>
      </w:r>
      <w:r w:rsidRPr="009B1A06">
        <w:rPr>
          <w:rFonts w:ascii="Verdana" w:hAnsi="Verdana"/>
          <w:sz w:val="18"/>
          <w:szCs w:val="18"/>
        </w:rPr>
        <w:br/>
        <w:t xml:space="preserve">- Wykonawca musi zapewnić Zamawiającemu dostęp do pakietów aktualizacyjnych, obrazów, repozytoriów offline, instrukcji i dokumentacji wymaganych do utrzymania systemu w środowisku </w:t>
      </w:r>
      <w:proofErr w:type="spellStart"/>
      <w:r w:rsidRPr="009B1A06">
        <w:rPr>
          <w:rFonts w:ascii="Verdana" w:hAnsi="Verdana"/>
          <w:sz w:val="18"/>
          <w:szCs w:val="18"/>
        </w:rPr>
        <w:t>air-gapped</w:t>
      </w:r>
      <w:proofErr w:type="spellEnd"/>
      <w:r w:rsidRPr="009B1A06">
        <w:rPr>
          <w:rFonts w:ascii="Verdana" w:hAnsi="Verdana"/>
          <w:sz w:val="18"/>
          <w:szCs w:val="18"/>
        </w:rPr>
        <w:t xml:space="preserve">; </w:t>
      </w:r>
    </w:p>
    <w:p w14:paraId="4075CDED" w14:textId="200E75E7" w:rsidR="00BE7BFD" w:rsidRDefault="009B1A06" w:rsidP="00B346FF">
      <w:pPr>
        <w:tabs>
          <w:tab w:val="left" w:pos="142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B1A06">
        <w:rPr>
          <w:rFonts w:ascii="Verdana" w:hAnsi="Verdana"/>
          <w:sz w:val="18"/>
          <w:szCs w:val="18"/>
        </w:rPr>
        <w:t xml:space="preserve">- ewentualny udział producentów komponentów lub autoryzowanych partnerów w diagnozowaniu i usuwaniu usterek pozostaje bez wpływu na odpowiedzialność Wykonawcy wobec Zamawiającego. </w:t>
      </w:r>
      <w:r w:rsidRPr="009B1A06">
        <w:rPr>
          <w:rFonts w:ascii="Verdana" w:hAnsi="Verdana"/>
          <w:sz w:val="18"/>
          <w:szCs w:val="18"/>
        </w:rPr>
        <w:br/>
      </w:r>
    </w:p>
    <w:p w14:paraId="066B8FE1" w14:textId="77777777" w:rsidR="007C169F" w:rsidRDefault="007C169F" w:rsidP="007C169F">
      <w:pPr>
        <w:rPr>
          <w:rFonts w:ascii="Verdana" w:hAnsi="Verdana"/>
          <w:sz w:val="18"/>
          <w:szCs w:val="18"/>
        </w:rPr>
      </w:pPr>
    </w:p>
    <w:p w14:paraId="0130C8CC" w14:textId="16AB5E7D" w:rsidR="007C169F" w:rsidRDefault="007C169F" w:rsidP="007C169F">
      <w:pPr>
        <w:tabs>
          <w:tab w:val="left" w:pos="56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0D6F6329" w14:textId="77777777" w:rsidR="007C169F" w:rsidRDefault="007C169F" w:rsidP="007C169F">
      <w:pPr>
        <w:tabs>
          <w:tab w:val="left" w:pos="5670"/>
        </w:tabs>
        <w:rPr>
          <w:rFonts w:ascii="Verdana" w:hAnsi="Verdana"/>
          <w:sz w:val="18"/>
          <w:szCs w:val="18"/>
        </w:rPr>
      </w:pPr>
    </w:p>
    <w:p w14:paraId="60BD9622" w14:textId="77777777" w:rsidR="007C169F" w:rsidRDefault="007C169F" w:rsidP="007C169F">
      <w:pPr>
        <w:tabs>
          <w:tab w:val="left" w:pos="5670"/>
        </w:tabs>
        <w:rPr>
          <w:rFonts w:ascii="Verdana" w:hAnsi="Verdana"/>
          <w:sz w:val="18"/>
          <w:szCs w:val="18"/>
        </w:rPr>
      </w:pPr>
    </w:p>
    <w:p w14:paraId="267FE22C" w14:textId="77777777" w:rsidR="00D91F04" w:rsidRDefault="00D91F04" w:rsidP="007C169F">
      <w:pPr>
        <w:tabs>
          <w:tab w:val="left" w:pos="5670"/>
        </w:tabs>
        <w:rPr>
          <w:rFonts w:ascii="Verdana" w:hAnsi="Verdana"/>
          <w:sz w:val="18"/>
          <w:szCs w:val="18"/>
        </w:rPr>
      </w:pPr>
    </w:p>
    <w:p w14:paraId="482F8A7B" w14:textId="77777777" w:rsidR="007C169F" w:rsidRDefault="007C169F" w:rsidP="007C169F">
      <w:pPr>
        <w:tabs>
          <w:tab w:val="left" w:pos="56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6DFEC19" w14:textId="62E05D2F" w:rsidR="007C169F" w:rsidRPr="007C169F" w:rsidRDefault="007C169F" w:rsidP="007C169F">
      <w:pPr>
        <w:tabs>
          <w:tab w:val="left" w:pos="56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7C169F" w:rsidRPr="007C169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91A1E" w14:textId="77777777" w:rsidR="0020098D" w:rsidRDefault="0020098D">
      <w:r>
        <w:separator/>
      </w:r>
    </w:p>
  </w:endnote>
  <w:endnote w:type="continuationSeparator" w:id="0">
    <w:p w14:paraId="417B9AF8" w14:textId="77777777" w:rsidR="0020098D" w:rsidRDefault="0020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A8D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215D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77AD7" w14:textId="77777777" w:rsidR="006D4AB3" w:rsidRDefault="0020098D">
    <w:pPr>
      <w:pStyle w:val="Stopka"/>
      <w:tabs>
        <w:tab w:val="clear" w:pos="4536"/>
      </w:tabs>
      <w:jc w:val="center"/>
    </w:pPr>
    <w:r>
      <w:rPr>
        <w:noProof/>
      </w:rPr>
      <w:pict w14:anchorId="28E7B447">
        <v:line id="_x0000_s1025" style="position:absolute;left:0;text-align:left;z-index:251657728" from="-3.85pt,8.75pt" to="455.15pt,8.75pt"/>
      </w:pict>
    </w:r>
  </w:p>
  <w:p w14:paraId="06B07DA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290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9B4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4CD4D6" w14:textId="77777777" w:rsidR="006D4AB3" w:rsidRDefault="006D4AB3">
    <w:pPr>
      <w:pStyle w:val="Stopka"/>
      <w:tabs>
        <w:tab w:val="clear" w:pos="4536"/>
        <w:tab w:val="left" w:pos="6237"/>
      </w:tabs>
    </w:pPr>
  </w:p>
  <w:p w14:paraId="798DD8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85A47" w14:textId="77777777" w:rsidR="0020098D" w:rsidRDefault="0020098D">
      <w:r>
        <w:separator/>
      </w:r>
    </w:p>
  </w:footnote>
  <w:footnote w:type="continuationSeparator" w:id="0">
    <w:p w14:paraId="3388A9EB" w14:textId="77777777" w:rsidR="0020098D" w:rsidRDefault="00200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A3852" w14:textId="77777777" w:rsidR="008A2B3C" w:rsidRDefault="008A2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01AF" w14:textId="77777777" w:rsidR="008A2B3C" w:rsidRDefault="008A2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6491B" w14:textId="77777777" w:rsidR="008A2B3C" w:rsidRDefault="008A2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9923532">
    <w:abstractNumId w:val="3"/>
  </w:num>
  <w:num w:numId="2" w16cid:durableId="202518945">
    <w:abstractNumId w:val="6"/>
  </w:num>
  <w:num w:numId="3" w16cid:durableId="665792286">
    <w:abstractNumId w:val="2"/>
  </w:num>
  <w:num w:numId="4" w16cid:durableId="1632787104">
    <w:abstractNumId w:val="5"/>
  </w:num>
  <w:num w:numId="5" w16cid:durableId="101267953">
    <w:abstractNumId w:val="0"/>
  </w:num>
  <w:num w:numId="6" w16cid:durableId="66810180">
    <w:abstractNumId w:val="1"/>
  </w:num>
  <w:num w:numId="7" w16cid:durableId="213274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F77"/>
    <w:rsid w:val="00031374"/>
    <w:rsid w:val="000A1097"/>
    <w:rsid w:val="000E2A8F"/>
    <w:rsid w:val="0012774F"/>
    <w:rsid w:val="00144B7A"/>
    <w:rsid w:val="00180C6E"/>
    <w:rsid w:val="001D75AC"/>
    <w:rsid w:val="0020098D"/>
    <w:rsid w:val="00257A4A"/>
    <w:rsid w:val="0029606A"/>
    <w:rsid w:val="003628EC"/>
    <w:rsid w:val="003D2CBC"/>
    <w:rsid w:val="003D2F77"/>
    <w:rsid w:val="00446E44"/>
    <w:rsid w:val="004848F3"/>
    <w:rsid w:val="0048786A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1352F"/>
    <w:rsid w:val="007423A1"/>
    <w:rsid w:val="007B44F0"/>
    <w:rsid w:val="007C169F"/>
    <w:rsid w:val="007D6860"/>
    <w:rsid w:val="007D7198"/>
    <w:rsid w:val="00870F9F"/>
    <w:rsid w:val="008804B6"/>
    <w:rsid w:val="00893499"/>
    <w:rsid w:val="00897AB0"/>
    <w:rsid w:val="008A2B3C"/>
    <w:rsid w:val="008A3553"/>
    <w:rsid w:val="008C65E4"/>
    <w:rsid w:val="008D1139"/>
    <w:rsid w:val="008D1F93"/>
    <w:rsid w:val="00914F64"/>
    <w:rsid w:val="00947A50"/>
    <w:rsid w:val="009B1A06"/>
    <w:rsid w:val="009B3429"/>
    <w:rsid w:val="009C31AF"/>
    <w:rsid w:val="009D7F88"/>
    <w:rsid w:val="00A905AC"/>
    <w:rsid w:val="00B346FF"/>
    <w:rsid w:val="00B66043"/>
    <w:rsid w:val="00BA6584"/>
    <w:rsid w:val="00BB55D0"/>
    <w:rsid w:val="00BE7BFD"/>
    <w:rsid w:val="00C370F2"/>
    <w:rsid w:val="00C44EEC"/>
    <w:rsid w:val="00CA5078"/>
    <w:rsid w:val="00CE60F7"/>
    <w:rsid w:val="00CF0649"/>
    <w:rsid w:val="00D22FFA"/>
    <w:rsid w:val="00D8461B"/>
    <w:rsid w:val="00D9049C"/>
    <w:rsid w:val="00D915F2"/>
    <w:rsid w:val="00D91F04"/>
    <w:rsid w:val="00DE14F7"/>
    <w:rsid w:val="00DF1C2F"/>
    <w:rsid w:val="00DF32E8"/>
    <w:rsid w:val="00DF3D9F"/>
    <w:rsid w:val="00E21B49"/>
    <w:rsid w:val="00E2761A"/>
    <w:rsid w:val="00E2789F"/>
    <w:rsid w:val="00E72428"/>
    <w:rsid w:val="00EA14B3"/>
    <w:rsid w:val="00EA416E"/>
    <w:rsid w:val="00F33B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85D0DA"/>
  <w15:chartTrackingRefBased/>
  <w15:docId w15:val="{96035267-F0A5-4FBE-85E7-EB09E923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914F6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4F6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4F6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14F6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14F6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14F6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4F6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4F6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4F6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914F6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914F6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914F6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5</Pages>
  <Words>2634</Words>
  <Characters>15809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2026-08-25T10:24:00Z</dcterms:created>
  <dcterms:modified xsi:type="dcterms:W3CDTF">2026-08-25T10:33:00Z</dcterms:modified>
</cp:coreProperties>
</file>