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DC290" w14:textId="40D4047C" w:rsidR="00155110" w:rsidRPr="0002271A" w:rsidRDefault="00155110" w:rsidP="00155110">
      <w:pPr>
        <w:jc w:val="right"/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Kraków dnia: 2026-08-</w:t>
      </w:r>
      <w:r>
        <w:rPr>
          <w:rFonts w:ascii="Verdana" w:hAnsi="Verdana"/>
          <w:sz w:val="18"/>
          <w:szCs w:val="18"/>
        </w:rPr>
        <w:t>20</w:t>
      </w:r>
    </w:p>
    <w:p w14:paraId="3DADE215" w14:textId="77777777" w:rsidR="00155110" w:rsidRPr="0002271A" w:rsidRDefault="00155110" w:rsidP="00155110">
      <w:pPr>
        <w:rPr>
          <w:rFonts w:ascii="Verdana" w:hAnsi="Verdana"/>
          <w:b/>
          <w:bCs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C71C50" w14:textId="77777777" w:rsidR="00155110" w:rsidRPr="0002271A" w:rsidRDefault="00155110" w:rsidP="00155110">
      <w:pPr>
        <w:rPr>
          <w:rFonts w:ascii="Verdana" w:hAnsi="Verdana"/>
          <w:b/>
          <w:bCs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961D5A" w14:textId="77777777" w:rsidR="00155110" w:rsidRPr="0002271A" w:rsidRDefault="00155110" w:rsidP="00155110">
      <w:pPr>
        <w:rPr>
          <w:rFonts w:ascii="Verdana" w:hAnsi="Verdana"/>
          <w:b/>
          <w:bCs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F0DBF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Al. Mickiewicza 30</w:t>
      </w:r>
    </w:p>
    <w:p w14:paraId="1B3262A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30-059 Kraków</w:t>
      </w:r>
    </w:p>
    <w:p w14:paraId="76FF59AF" w14:textId="77777777" w:rsidR="00155110" w:rsidRPr="0002271A" w:rsidRDefault="00155110" w:rsidP="0015511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Pismo:</w:t>
      </w:r>
      <w:r w:rsidRPr="0002271A">
        <w:rPr>
          <w:rFonts w:ascii="Verdana" w:hAnsi="Verdana"/>
          <w:b/>
          <w:bCs/>
          <w:sz w:val="18"/>
          <w:szCs w:val="18"/>
        </w:rPr>
        <w:t xml:space="preserve"> </w:t>
      </w:r>
      <w:r w:rsidRPr="0002271A">
        <w:rPr>
          <w:rFonts w:ascii="Verdana" w:hAnsi="Verdana"/>
          <w:bCs/>
          <w:sz w:val="18"/>
          <w:szCs w:val="18"/>
        </w:rPr>
        <w:t>KC-DE-zp.25.341.2026</w:t>
      </w:r>
      <w:r w:rsidRPr="0002271A">
        <w:rPr>
          <w:rFonts w:ascii="Verdana" w:hAnsi="Verdana"/>
          <w:sz w:val="18"/>
          <w:szCs w:val="18"/>
        </w:rPr>
        <w:tab/>
        <w:t xml:space="preserve"> </w:t>
      </w:r>
    </w:p>
    <w:p w14:paraId="3D20978B" w14:textId="77777777" w:rsidR="00155110" w:rsidRPr="0002271A" w:rsidRDefault="00155110" w:rsidP="0015511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02271A">
        <w:rPr>
          <w:rFonts w:ascii="Verdana" w:hAnsi="Verdana"/>
          <w:b/>
          <w:sz w:val="18"/>
          <w:szCs w:val="18"/>
        </w:rPr>
        <w:t>WYKONAWCY</w:t>
      </w:r>
    </w:p>
    <w:p w14:paraId="26628AD6" w14:textId="77777777" w:rsidR="00155110" w:rsidRPr="0002271A" w:rsidRDefault="00155110" w:rsidP="0015511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ubiegający się o zamówienie publiczne</w:t>
      </w:r>
    </w:p>
    <w:p w14:paraId="2D74F754" w14:textId="77777777" w:rsidR="00155110" w:rsidRPr="0002271A" w:rsidRDefault="00155110" w:rsidP="0015511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B412535" w14:textId="77777777" w:rsidR="00155110" w:rsidRPr="00581A73" w:rsidRDefault="00155110" w:rsidP="00155110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WYJAŚNIENIA TREŚCI SWZ i ZMIANA SWZ 3</w:t>
      </w:r>
      <w:r>
        <w:rPr>
          <w:rFonts w:ascii="Verdana" w:hAnsi="Verdana"/>
          <w:sz w:val="18"/>
          <w:szCs w:val="18"/>
        </w:rPr>
        <w:t xml:space="preserve"> </w:t>
      </w:r>
    </w:p>
    <w:p w14:paraId="0D3D5E5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</w:p>
    <w:p w14:paraId="0658DB4B" w14:textId="77777777" w:rsidR="00155110" w:rsidRPr="0002271A" w:rsidRDefault="00155110" w:rsidP="00155110">
      <w:pPr>
        <w:jc w:val="both"/>
        <w:rPr>
          <w:rFonts w:ascii="Verdana" w:hAnsi="Verdana"/>
          <w:b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2271A">
        <w:rPr>
          <w:rFonts w:ascii="Verdana" w:hAnsi="Verdana"/>
          <w:sz w:val="18"/>
          <w:szCs w:val="18"/>
        </w:rPr>
        <w:t>Pzp</w:t>
      </w:r>
      <w:proofErr w:type="spellEnd"/>
      <w:r w:rsidRPr="0002271A">
        <w:rPr>
          <w:rFonts w:ascii="Verdana" w:hAnsi="Verdana"/>
          <w:b/>
          <w:sz w:val="18"/>
          <w:szCs w:val="18"/>
        </w:rPr>
        <w:t xml:space="preserve"> </w:t>
      </w:r>
      <w:r w:rsidRPr="0002271A">
        <w:rPr>
          <w:rFonts w:ascii="Verdana" w:hAnsi="Verdana"/>
          <w:bCs/>
          <w:sz w:val="18"/>
          <w:szCs w:val="18"/>
        </w:rPr>
        <w:t>pn.</w:t>
      </w:r>
      <w:r w:rsidRPr="0002271A">
        <w:rPr>
          <w:rFonts w:ascii="Verdana" w:hAnsi="Verdana"/>
          <w:b/>
          <w:sz w:val="18"/>
          <w:szCs w:val="18"/>
        </w:rPr>
        <w:t xml:space="preserve"> </w:t>
      </w:r>
      <w:r w:rsidRPr="0002271A">
        <w:rPr>
          <w:rFonts w:ascii="Verdana" w:hAnsi="Verdana"/>
          <w:bCs/>
          <w:sz w:val="18"/>
          <w:szCs w:val="18"/>
        </w:rPr>
        <w:t>”</w:t>
      </w:r>
      <w:r w:rsidRPr="0002271A">
        <w:rPr>
          <w:rFonts w:ascii="Verdana" w:hAnsi="Verdana"/>
          <w:b/>
          <w:bCs/>
          <w:sz w:val="18"/>
          <w:szCs w:val="18"/>
        </w:rPr>
        <w:t>Modernizacja (rozbudowa z przebudową i remont kapitalny) budynku domu studenckiego DS6 "Bratek" przy ul. Rostafińskiego 6 w Krakowie - KC-DE-zp.25.341.2026</w:t>
      </w:r>
      <w:r w:rsidRPr="0002271A">
        <w:rPr>
          <w:rFonts w:ascii="Verdana" w:hAnsi="Verdana"/>
          <w:bCs/>
          <w:sz w:val="18"/>
          <w:szCs w:val="18"/>
        </w:rPr>
        <w:t>”</w:t>
      </w:r>
      <w:r w:rsidRPr="0002271A">
        <w:rPr>
          <w:rFonts w:ascii="Verdana" w:hAnsi="Verdana"/>
          <w:b/>
          <w:sz w:val="18"/>
          <w:szCs w:val="18"/>
        </w:rPr>
        <w:t>.</w:t>
      </w:r>
    </w:p>
    <w:p w14:paraId="19E17BC1" w14:textId="77777777" w:rsidR="00155110" w:rsidRPr="0002271A" w:rsidRDefault="00155110" w:rsidP="00155110">
      <w:pPr>
        <w:jc w:val="both"/>
        <w:rPr>
          <w:rFonts w:ascii="Verdana" w:hAnsi="Verdana"/>
          <w:sz w:val="18"/>
          <w:szCs w:val="18"/>
        </w:rPr>
      </w:pPr>
    </w:p>
    <w:p w14:paraId="7A5554BB" w14:textId="77777777" w:rsidR="00155110" w:rsidRPr="0002271A" w:rsidRDefault="00155110" w:rsidP="00155110">
      <w:pPr>
        <w:jc w:val="both"/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Zamawiający, działając na podstawie art. 284 ust. 6 ustawy z dnia 11 września 2019 r. Prawo zamówień publicznych (Dz.U.2026 poz. 793 ze zm.) udostępnia poniżej treść zapytań do Specyfikacji Warunków Zamówienia (</w:t>
      </w:r>
      <w:r w:rsidRPr="0002271A">
        <w:rPr>
          <w:rFonts w:ascii="Verdana" w:hAnsi="Verdana"/>
          <w:sz w:val="18"/>
          <w:szCs w:val="18"/>
          <w:lang w:eastAsia="ar-SA"/>
        </w:rPr>
        <w:t>zwanej dalej</w:t>
      </w:r>
      <w:r w:rsidRPr="0002271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02271A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02271A">
        <w:rPr>
          <w:rFonts w:ascii="Verdana" w:hAnsi="Verdana"/>
          <w:sz w:val="18"/>
          <w:szCs w:val="18"/>
        </w:rPr>
        <w:t>wraz z wyjaśnieniami</w:t>
      </w:r>
      <w:r w:rsidRPr="0002271A">
        <w:rPr>
          <w:rFonts w:ascii="Verdana" w:hAnsi="Verdana"/>
          <w:bCs/>
          <w:sz w:val="18"/>
          <w:szCs w:val="18"/>
          <w:lang w:eastAsia="ar-SA"/>
        </w:rPr>
        <w:t>:</w:t>
      </w:r>
    </w:p>
    <w:p w14:paraId="36A07DEC" w14:textId="77777777" w:rsidR="00155110" w:rsidRPr="00155110" w:rsidRDefault="00155110" w:rsidP="00155110">
      <w:pPr>
        <w:pStyle w:val="Nagwek1"/>
        <w:spacing w:before="0" w:after="0"/>
        <w:jc w:val="center"/>
        <w:rPr>
          <w:rFonts w:ascii="Verdana" w:hAnsi="Verdana"/>
          <w:color w:val="0F9ED5"/>
          <w:sz w:val="18"/>
          <w:szCs w:val="18"/>
        </w:rPr>
      </w:pPr>
    </w:p>
    <w:p w14:paraId="460BA777" w14:textId="77777777" w:rsidR="00155110" w:rsidRPr="00155110" w:rsidRDefault="00155110" w:rsidP="00155110">
      <w:pPr>
        <w:pStyle w:val="Nagwek1"/>
        <w:spacing w:before="0" w:after="0"/>
        <w:jc w:val="center"/>
        <w:rPr>
          <w:rFonts w:ascii="Verdana" w:hAnsi="Verdana"/>
          <w:color w:val="0F9ED5"/>
          <w:sz w:val="18"/>
          <w:szCs w:val="18"/>
        </w:rPr>
      </w:pPr>
      <w:r w:rsidRPr="00155110">
        <w:rPr>
          <w:rFonts w:ascii="Verdana" w:hAnsi="Verdana"/>
          <w:color w:val="0F9ED5"/>
          <w:sz w:val="18"/>
          <w:szCs w:val="18"/>
        </w:rPr>
        <w:t>cz.1 zestawu pytań i odpowiedzi z dnia 12.08.2026</w:t>
      </w:r>
    </w:p>
    <w:p w14:paraId="48246D2D" w14:textId="77777777" w:rsidR="00155110" w:rsidRPr="0002271A" w:rsidRDefault="00155110" w:rsidP="00155110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87D353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1:</w:t>
      </w:r>
    </w:p>
    <w:p w14:paraId="36700920" w14:textId="77777777" w:rsidR="00155110" w:rsidRDefault="00155110" w:rsidP="00155110">
      <w:pPr>
        <w:rPr>
          <w:rFonts w:ascii="Verdana" w:hAnsi="Verdana"/>
          <w:i/>
          <w:iCs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czy Wykonawcy mogą dobrowolnie wprowadzać dodatkowe pozycje, które w ich ocenie są niezbędne w przedmiarze robót udostępnionym przez Zamawiającego.</w:t>
      </w:r>
    </w:p>
    <w:p w14:paraId="031AF1A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2:</w:t>
      </w:r>
    </w:p>
    <w:p w14:paraId="3BB59C7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czy Wykonawcy mogą dobrowolnie usuwać pozycje, które w ich ocenie są zbędne.</w:t>
      </w:r>
    </w:p>
    <w:p w14:paraId="414134D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3:</w:t>
      </w:r>
    </w:p>
    <w:p w14:paraId="7D93F264" w14:textId="77777777" w:rsidR="00155110" w:rsidRDefault="00155110" w:rsidP="00155110">
      <w:pPr>
        <w:rPr>
          <w:rFonts w:ascii="Verdana" w:hAnsi="Verdana"/>
          <w:i/>
          <w:iCs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Wykonawcy mogą dobrowolnie zmieniać podstawy wyceny (np. KNR-y) poszczególnych pozycji przedmiarowych.</w:t>
      </w:r>
    </w:p>
    <w:p w14:paraId="2FC6D69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4:</w:t>
      </w:r>
    </w:p>
    <w:p w14:paraId="7A227CC5" w14:textId="77777777" w:rsidR="00155110" w:rsidRDefault="00155110" w:rsidP="00155110">
      <w:pPr>
        <w:rPr>
          <w:rFonts w:ascii="Verdana" w:hAnsi="Verdana"/>
          <w:i/>
          <w:iCs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Wykonawcy mogą dobrowolnie zmieniać nakłady RMS, które w ich ocenie są nieadekwatne do realnie ponoszonych nakładów pracy.</w:t>
      </w:r>
    </w:p>
    <w:p w14:paraId="18199AB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5:</w:t>
      </w:r>
    </w:p>
    <w:p w14:paraId="29501500" w14:textId="77777777" w:rsidR="00155110" w:rsidRDefault="00155110" w:rsidP="00155110">
      <w:pPr>
        <w:rPr>
          <w:rFonts w:ascii="Verdana" w:hAnsi="Verdana"/>
          <w:i/>
          <w:iCs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Wykonawcy mogą dobrowolnie modyfikować opisy poszczególnych pozycji przedmiarowych.</w:t>
      </w:r>
    </w:p>
    <w:p w14:paraId="00426A4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6:</w:t>
      </w:r>
    </w:p>
    <w:p w14:paraId="0EF4185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Wykonawcy mogą dobrowolnie zmieniać jednostki miary poszczególnych pozycji przedmiarowych.</w:t>
      </w:r>
    </w:p>
    <w:p w14:paraId="455750D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7:</w:t>
      </w:r>
    </w:p>
    <w:p w14:paraId="41C56B5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Wykonawcy mogą dobrowolnie zmieniać ilości poszczególnych pozycji przedmiarowych.</w:t>
      </w:r>
    </w:p>
    <w:p w14:paraId="4DB45BE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8:</w:t>
      </w:r>
    </w:p>
    <w:p w14:paraId="1B36583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że wszystkie pozycje przedmiarowe muszą zostać wycenione, tj. żadna pozycja nie może mieć wartości 0,00 zł.</w:t>
      </w:r>
    </w:p>
    <w:p w14:paraId="0EE3827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</w:t>
      </w:r>
      <w:r>
        <w:rPr>
          <w:rFonts w:ascii="Verdana" w:hAnsi="Verdana"/>
          <w:b/>
          <w:bCs/>
          <w:sz w:val="18"/>
          <w:szCs w:val="18"/>
        </w:rPr>
        <w:t xml:space="preserve"> 1-8</w:t>
      </w:r>
      <w:r w:rsidRPr="0002271A">
        <w:rPr>
          <w:rFonts w:ascii="Verdana" w:hAnsi="Verdana"/>
          <w:b/>
          <w:bCs/>
          <w:sz w:val="18"/>
          <w:szCs w:val="18"/>
        </w:rPr>
        <w:t>:</w:t>
      </w:r>
    </w:p>
    <w:p w14:paraId="4910B71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pkt. 21.3 SWZ przedmiary robót są materiałem pomocniczym dołączonym do SWZ celem ułatwienia Wykonawcy obliczenia ceny oferty. Podane w przedmiarach podstawy wyceny i ilości należy traktować jako orientacyjne.</w:t>
      </w:r>
    </w:p>
    <w:p w14:paraId="214CDF7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D25F0F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9:</w:t>
      </w:r>
    </w:p>
    <w:p w14:paraId="5398E1B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że serwisowanie urządzeń w trakcie użytkowania przedmiotu zamówienia leży po stronie Zamawiającego.</w:t>
      </w:r>
    </w:p>
    <w:p w14:paraId="2B17B14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6F8A01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zapisami pkt. 14 lit. c) Oświadczenia gwarancyjnego Wykonawcy-Gwaranta (Załącznik nr 1 do wzoru umowy) w wycenie należy uwzględnić koszty wykonywania w okresie udzielonej gwarancji podstawowej serwisów i konserwacji niezbędnych do zgodnego z prawem użytkowania elementów i urządzeń podlegających uregulowaniu w polskim prawie, zapewniających pozostawanie eksploatowanych elementów w niepogorszonej funkcjonalności i stanie, czynności konserwacyjnych i obsługowych urządzeń klimatyzacyjnych i corocznych przeglądów gwarancyjnych, prób i badań, których zakres określony jest w DTR-</w:t>
      </w:r>
      <w:proofErr w:type="spellStart"/>
      <w:r w:rsidRPr="0002271A">
        <w:rPr>
          <w:rFonts w:ascii="Verdana" w:hAnsi="Verdana"/>
          <w:sz w:val="18"/>
          <w:szCs w:val="18"/>
        </w:rPr>
        <w:t>kach</w:t>
      </w:r>
      <w:proofErr w:type="spellEnd"/>
      <w:r w:rsidRPr="0002271A">
        <w:rPr>
          <w:rFonts w:ascii="Verdana" w:hAnsi="Verdana"/>
          <w:sz w:val="18"/>
          <w:szCs w:val="18"/>
        </w:rPr>
        <w:t xml:space="preserve">, instrukcjach eksploatacji </w:t>
      </w:r>
      <w:r w:rsidRPr="0002271A">
        <w:rPr>
          <w:rFonts w:ascii="Verdana" w:hAnsi="Verdana"/>
          <w:sz w:val="18"/>
          <w:szCs w:val="18"/>
        </w:rPr>
        <w:lastRenderedPageBreak/>
        <w:t>urządzeń i innych przepisach prawnych. Po stronie Zamawiającego jest jedynie pokrycie kosztów materiałów eksploatacyjnych.</w:t>
      </w:r>
    </w:p>
    <w:p w14:paraId="4B21C3F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9684E2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10:</w:t>
      </w:r>
    </w:p>
    <w:p w14:paraId="618BCD9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że koszty wymiany oraz zakupu materiałów eksploatacyjnych urządzeń w trakcie użytkowania przedmiotu zamówienia ponosi Zamawiający.</w:t>
      </w:r>
    </w:p>
    <w:p w14:paraId="4B5B115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7FB6121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odpowiedzią na pytanie nr 9 powyżej, koszty zakupu materiałów eksploatacyjnych do serwisowanych przez Wykonawcę urządzeń w trakcie udzielonej przez Wykonawcę gwarancji podstawowej ponosi Zamawiający.</w:t>
      </w:r>
    </w:p>
    <w:p w14:paraId="06E21A5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 </w:t>
      </w:r>
    </w:p>
    <w:p w14:paraId="2B191E7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11:</w:t>
      </w:r>
    </w:p>
    <w:p w14:paraId="7DB1E70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 okresie gwarancji po stronie Wykonawcy leży koszt dostawy i wymiany materiałów eksploatacyjnych związanych z bieżącą eksploatacją (takich jak źródła światła, akumulatory, filtry itp.).</w:t>
      </w:r>
    </w:p>
    <w:p w14:paraId="2CF831A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895021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odpowiedziami na pytania nr 9 i 10 powyżej, koszty wymiany materiałów eksploatacyjnych ponosi Wykonawca a koszty ich dostawy Zamawiający.</w:t>
      </w:r>
    </w:p>
    <w:p w14:paraId="177D4DC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D1E5C1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12:</w:t>
      </w:r>
    </w:p>
    <w:p w14:paraId="50C05F3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 okresie gwarancji/rękojmi po stronie Wykonawcy leży wykonywanie przeglądów systemów, których obowiązek zgodnie z rozporządzeniem MSWiA z dnia 7 czerwca 2010 r. spoczywa na Inwestorze/Zarządcy obiektu (m.in. SSP, systemy oddymiania, oświetlenie ewakuacyjne, hydranty, gaśnice).</w:t>
      </w:r>
    </w:p>
    <w:p w14:paraId="7F11679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9BF146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 okresie udzielonej przez Wykonawcę gwarancji podstawowej po stronie Wykonawcy leży wykonywanie przeglądów systemów, których obowiązek zgodnie z rozporządzeniem MSWiA z dnia 7 czerwca 2010 r. spoczywa na Inwestorze/Zarządcy obiektu (m.in. SSP, systemy oddymiania, oświetlenie ewakuacyjne, hydranty, gaśnice).</w:t>
      </w:r>
    </w:p>
    <w:p w14:paraId="127F38B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5AEC6C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13:</w:t>
      </w:r>
    </w:p>
    <w:p w14:paraId="0D0B958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że zinwentaryzowano wszystkie istniejące instalacje znajdujące się w obszarze inwestycji.</w:t>
      </w:r>
    </w:p>
    <w:p w14:paraId="10745DD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B400BD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Wszystkie istniejące instalacje znajdujące się w obszarze inwestycji zostały zinwentaryzowane.</w:t>
      </w:r>
    </w:p>
    <w:p w14:paraId="43132D0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51B3D51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14:</w:t>
      </w:r>
    </w:p>
    <w:p w14:paraId="7B02A1E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informację, czy wykonano inspekcję CCTV istniejącej kanalizacji sanitarnej i deszczowej.</w:t>
      </w:r>
    </w:p>
    <w:p w14:paraId="2F091C5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0B91FDB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Nie wykonano inspekcji CCTV istniejącej kanalizacji sanitarnej i deszczowej.</w:t>
      </w:r>
    </w:p>
    <w:p w14:paraId="7ABF3ED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5DA33B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15:</w:t>
      </w:r>
    </w:p>
    <w:p w14:paraId="6EFDDDB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potwierdzenie, że przekazana dokumentacja stanu istniejącego jest kompletna, aktualna i zgodna ze stanem rzeczywistym.</w:t>
      </w:r>
    </w:p>
    <w:p w14:paraId="1C2EF20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0087DE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Zamawiający potwierdza, że przekazana dokumentacja stanu istniejącego jest kompletna, aktualna i zgodna ze stanem rzeczywistym.</w:t>
      </w:r>
    </w:p>
    <w:p w14:paraId="70D365C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8F37E9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16:</w:t>
      </w:r>
    </w:p>
    <w:p w14:paraId="304C733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wskazanie zamknięty, obowiązujący wykaz dokumentacji wraz z numerami rewizji i datami. Które pliki zastępują wcześniejsze wersje?</w:t>
      </w:r>
    </w:p>
    <w:p w14:paraId="7FEC273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1AA6CD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Udostępniona przez Zamawiającego dokumentacja projektowa jest aktualna z zastrzeżeniem, że w ramach wyjaśniania treści SWZ Zamawiający udostępnia nowe lub poprawione części dokumentacji. Części dokumentacji, które zostały zmienione oznaczone są przez dopisek "</w:t>
      </w:r>
      <w:proofErr w:type="spellStart"/>
      <w:r w:rsidRPr="0002271A">
        <w:rPr>
          <w:rFonts w:ascii="Verdana" w:hAnsi="Verdana"/>
          <w:sz w:val="18"/>
          <w:szCs w:val="18"/>
        </w:rPr>
        <w:t>revx</w:t>
      </w:r>
      <w:proofErr w:type="spellEnd"/>
      <w:r w:rsidRPr="0002271A">
        <w:rPr>
          <w:rFonts w:ascii="Verdana" w:hAnsi="Verdana"/>
          <w:sz w:val="18"/>
          <w:szCs w:val="18"/>
        </w:rPr>
        <w:t>" w nazwie pliku, gdzie w miejsce litery “x” pojawia się kolejna cyfra (1, 2, 3 itd.) wskazująca numer rewizji. W takim przypadku jako aktualną wersję należy przyjąć tą z wyższym numerem rewizji. Zamawiający nie dysponuje postulowanym wykazem.</w:t>
      </w:r>
    </w:p>
    <w:p w14:paraId="221D21A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52A014E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17:</w:t>
      </w:r>
    </w:p>
    <w:p w14:paraId="624F901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Zamawiający udostępni przedmiary wszystkich branż w formacie edytowalnym oraz zestawienie zmian między rewizjami?</w:t>
      </w:r>
    </w:p>
    <w:p w14:paraId="215824A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D82705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lastRenderedPageBreak/>
        <w:t>Zamawiający nie dysponuje przedmiarem w wersji edytowalnej. Zamawiający nie dysponuje postulowanym zestawieniem.</w:t>
      </w:r>
    </w:p>
    <w:p w14:paraId="201C550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9F6D9D0" w14:textId="77777777" w:rsidR="00155110" w:rsidRDefault="00155110" w:rsidP="00155110">
      <w:pPr>
        <w:rPr>
          <w:rFonts w:ascii="Verdana" w:hAnsi="Verdana"/>
          <w:b/>
          <w:bCs/>
          <w:sz w:val="18"/>
          <w:szCs w:val="18"/>
        </w:rPr>
      </w:pPr>
    </w:p>
    <w:p w14:paraId="0E0EEC7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18:</w:t>
      </w:r>
    </w:p>
    <w:p w14:paraId="6D9233E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dokumentacja obejmuje pełny zakres zamówienia, czy część urządzeń, wyposażenia i robót będzie realizowana przez dostawców bezpośrednich Inwestora/MPEC/MS AGH?</w:t>
      </w:r>
    </w:p>
    <w:p w14:paraId="1CDEC26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8D478A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Dokumentacja projektowa obejmuje pełny zakres zamówienia. Żadne urządzenia, wyposażenie i roboty nie będzie realizowane przez dostawców bezpośrednich Zamawiającego.</w:t>
      </w:r>
    </w:p>
    <w:p w14:paraId="7A248D7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7539A9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19:</w:t>
      </w:r>
    </w:p>
    <w:p w14:paraId="0D5E920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obiekt będzie całkowicie wyłączony z użytkowania podczas robót? Jeżeli nie,</w:t>
      </w:r>
      <w:r>
        <w:rPr>
          <w:rFonts w:ascii="Verdana" w:hAnsi="Verdana"/>
          <w:i/>
          <w:iCs/>
          <w:sz w:val="18"/>
          <w:szCs w:val="18"/>
        </w:rPr>
        <w:t xml:space="preserve"> p</w:t>
      </w:r>
      <w:r w:rsidRPr="0002271A">
        <w:rPr>
          <w:rFonts w:ascii="Verdana" w:hAnsi="Verdana"/>
          <w:i/>
          <w:iCs/>
          <w:sz w:val="18"/>
          <w:szCs w:val="18"/>
        </w:rPr>
        <w:t>rosimy o wymagane etapy, strefy czynne i ograniczenia godzinowe.</w:t>
      </w:r>
    </w:p>
    <w:p w14:paraId="001439F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2FF4C2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Tak, budynek będzie całkowicie wyłączony z użytkowania na czas realizacji robót. Wymagania dotyczące ograniczeń godzinowych związanych z sąsiedztwem budynków zamieszkałych przez studentów opisane są w części Prace należy wykonać i wycenić z uwzględnieniem w pkt. 4.1 SWZ (strona 7).</w:t>
      </w:r>
    </w:p>
    <w:p w14:paraId="371A700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0C49AD6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20:</w:t>
      </w:r>
    </w:p>
    <w:p w14:paraId="018E9DA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w zakres wchodzi utrzymanie działania zasilania, CCTV, światłowodów, telefonii, SSP lub innych instalacji dla sąsiednich obiektów DS-5/DS-7?</w:t>
      </w:r>
      <w:r w:rsidRPr="0002271A">
        <w:rPr>
          <w:rFonts w:ascii="Verdana" w:hAnsi="Verdana"/>
          <w:sz w:val="18"/>
          <w:szCs w:val="18"/>
        </w:rPr>
        <w:t> </w:t>
      </w:r>
    </w:p>
    <w:p w14:paraId="57435AA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DF96E9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zapisem pkt. 4.1 SWZ (strona 9), w zakres przedmiotu zamówienia wchodzi utrzymanie przez cały czas prowadzenia robót budowlanych nieprzerwanego działania niżej wskazanych instalacji:</w:t>
      </w:r>
    </w:p>
    <w:p w14:paraId="7515804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- złącza kablowego i układu pomiarowego budynku;</w:t>
      </w:r>
    </w:p>
    <w:p w14:paraId="54E8398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- przyłącza światłowodowego znajdującego się w piwnicy (</w:t>
      </w:r>
      <w:proofErr w:type="spellStart"/>
      <w:r w:rsidRPr="0002271A">
        <w:rPr>
          <w:rFonts w:ascii="Verdana" w:hAnsi="Verdana"/>
          <w:sz w:val="18"/>
          <w:szCs w:val="18"/>
        </w:rPr>
        <w:t>switch</w:t>
      </w:r>
      <w:proofErr w:type="spellEnd"/>
      <w:r w:rsidRPr="0002271A">
        <w:rPr>
          <w:rFonts w:ascii="Verdana" w:hAnsi="Verdana"/>
          <w:sz w:val="18"/>
          <w:szCs w:val="18"/>
        </w:rPr>
        <w:t xml:space="preserve"> Aruba 6000 z czterema modułami światłowodowymi 1,25G);</w:t>
      </w:r>
    </w:p>
    <w:p w14:paraId="6BF3E05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- oświetlenia zewnętrznego wraz z układem zasilania;</w:t>
      </w:r>
    </w:p>
    <w:p w14:paraId="05F30DF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- punktu dystrybucyjnego do zasilania kamer.</w:t>
      </w:r>
    </w:p>
    <w:p w14:paraId="586C00A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262799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21:</w:t>
      </w:r>
    </w:p>
    <w:p w14:paraId="56DF44A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Prosimy o podanie wymagany harmonogram, kamienie milowe, terminy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wyłączeń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oraz okresy niedopuszczalnych przerw w mediach i systemach.</w:t>
      </w:r>
      <w:r w:rsidRPr="0002271A">
        <w:rPr>
          <w:rFonts w:ascii="Verdana" w:hAnsi="Verdana"/>
          <w:sz w:val="18"/>
          <w:szCs w:val="18"/>
        </w:rPr>
        <w:t> </w:t>
      </w:r>
    </w:p>
    <w:p w14:paraId="4E5ADB9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0EA63C6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Poza wyjątkami opisanymi w SWZ, wzorze umowy lub dokumentacji projektowej, Zamawiający nie określa ograniczeń w przedmiocie pytania.</w:t>
      </w:r>
    </w:p>
    <w:p w14:paraId="1A67A5B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54C373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22:</w:t>
      </w:r>
    </w:p>
    <w:p w14:paraId="27EF108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dostępne są ekspertyza ppoż., scenariusz pożarowy, BIOZ, decyzje administracyjne i uzgodnienia rzeczoznawców?</w:t>
      </w:r>
      <w:r w:rsidRPr="0002271A">
        <w:rPr>
          <w:rFonts w:ascii="Verdana" w:hAnsi="Verdana"/>
          <w:sz w:val="18"/>
          <w:szCs w:val="18"/>
        </w:rPr>
        <w:t> </w:t>
      </w:r>
    </w:p>
    <w:p w14:paraId="1958B7F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7B968B2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Udostępniona dokumentacja projektowa zawiera scenariusz pożarowy, plan BIOZ, decyzje pozwolenia na budowę, uzgodnienia rzeczoznawców. Ekspertyza ppoż. nie jest wymagana. Warunki ochrony ppoż. zostały zawarte w projekcie architektoniczno-budowlanym.</w:t>
      </w:r>
    </w:p>
    <w:p w14:paraId="5964F36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0DB15C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23:</w:t>
      </w:r>
    </w:p>
    <w:p w14:paraId="3FDF5F3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Zamawiający udostępni pełną inwentaryzację powykonawczą konstrukcji i instalacji oraz wyniki odkrywek?</w:t>
      </w:r>
      <w:r w:rsidRPr="0002271A">
        <w:rPr>
          <w:rFonts w:ascii="Verdana" w:hAnsi="Verdana"/>
          <w:sz w:val="18"/>
          <w:szCs w:val="18"/>
        </w:rPr>
        <w:t> </w:t>
      </w:r>
    </w:p>
    <w:p w14:paraId="7753A3D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EC1E63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Zamawiający nie dysponuje inwentaryzacją powykonawczą konstrukcji i instalacji ani wyników odkrywek. Udostępniona dokumentacja projektowa jest kompletna, jednoznaczna i w pełni wystarczająca do prawidłowego skalkulowania ceny oferty oraz realizacji całego zakresu rzeczowego zamówienia.</w:t>
      </w:r>
    </w:p>
    <w:p w14:paraId="4FA9CE4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05B752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24:</w:t>
      </w:r>
    </w:p>
    <w:p w14:paraId="0FA925B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Jak będą rozliczane naprawy konstrukcji, tynków, ościeży, stropów, attyk i dachu ujawnione po odkryciu?</w:t>
      </w:r>
      <w:r w:rsidRPr="0002271A">
        <w:rPr>
          <w:rFonts w:ascii="Verdana" w:hAnsi="Verdana"/>
          <w:sz w:val="18"/>
          <w:szCs w:val="18"/>
        </w:rPr>
        <w:t> </w:t>
      </w:r>
    </w:p>
    <w:p w14:paraId="6718B63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A12786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Cs/>
          <w:sz w:val="18"/>
          <w:szCs w:val="18"/>
        </w:rPr>
        <w:t xml:space="preserve">Prace budowlane oraz sposób ich rozliczenia określa dokumentacja projektowa wraz z przedmiarem robót. W cenie ofertowej należy uwzględnić wszelkie niezbędne naprawy konstrukcji, tynków, </w:t>
      </w:r>
      <w:r w:rsidRPr="0002271A">
        <w:rPr>
          <w:rFonts w:ascii="Verdana" w:hAnsi="Verdana"/>
          <w:bCs/>
          <w:sz w:val="18"/>
          <w:szCs w:val="18"/>
        </w:rPr>
        <w:lastRenderedPageBreak/>
        <w:t>ościeży, stropów, attyk i dachu, które mogą zostać ujawnione w trakcie prowadzenia robót po wykonaniu odkrywek. </w:t>
      </w:r>
    </w:p>
    <w:p w14:paraId="71A1D1E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7FE2D28" w14:textId="77777777" w:rsidR="00155110" w:rsidRDefault="00155110" w:rsidP="00155110">
      <w:pPr>
        <w:rPr>
          <w:rFonts w:ascii="Verdana" w:hAnsi="Verdana"/>
          <w:b/>
          <w:bCs/>
          <w:sz w:val="18"/>
          <w:szCs w:val="18"/>
        </w:rPr>
      </w:pPr>
    </w:p>
    <w:p w14:paraId="1D175830" w14:textId="77777777" w:rsidR="00155110" w:rsidRDefault="00155110" w:rsidP="00155110">
      <w:pPr>
        <w:rPr>
          <w:rFonts w:ascii="Verdana" w:hAnsi="Verdana"/>
          <w:b/>
          <w:bCs/>
          <w:sz w:val="18"/>
          <w:szCs w:val="18"/>
        </w:rPr>
      </w:pPr>
    </w:p>
    <w:p w14:paraId="239ED83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25:</w:t>
      </w:r>
    </w:p>
    <w:p w14:paraId="1FD8B6D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wykonano badania występowania azbestu, PCB, ołowiu, substancji niebezpiecznych, grzybów i skażenia biologicznego?</w:t>
      </w:r>
    </w:p>
    <w:p w14:paraId="57EAB37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1F49F6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Nie wykonano powyższych badań. W trakcie modernizacji powstałych w tym samym czasie, podobnych budynków innych domów studenckich na terenie Miasteczka Studenckiego AGH nie stwierdzono powyższych zagrożeń. </w:t>
      </w:r>
    </w:p>
    <w:p w14:paraId="0093CF7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18BDA88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Pytanie 26:</w:t>
      </w:r>
    </w:p>
    <w:p w14:paraId="2D4B715E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Kto jest właścicielem materiałów z demontażu i które elementy należy odzyskać, zabezpieczyć, zinwentaryzować i przekazać?</w:t>
      </w:r>
    </w:p>
    <w:p w14:paraId="4248FFE9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Odpowiedź:</w:t>
      </w:r>
    </w:p>
    <w:p w14:paraId="058E628B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Właścicielem materiałów pochodzących z demontażu jest Zamawiający. W pkt. 4.1 SWZ (strona 8 i 9) Zamawiający wskazał elementy, które należy odzyskać, zabezpieczyć i przekazać Zamawiającemu.</w:t>
      </w:r>
    </w:p>
    <w:p w14:paraId="42671A41" w14:textId="77777777" w:rsidR="00155110" w:rsidRDefault="00155110" w:rsidP="00155110">
      <w:pPr>
        <w:rPr>
          <w:rFonts w:ascii="Verdana" w:hAnsi="Verdana"/>
          <w:b/>
          <w:bCs/>
          <w:sz w:val="18"/>
          <w:szCs w:val="18"/>
        </w:rPr>
      </w:pPr>
    </w:p>
    <w:p w14:paraId="08670C74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Pytanie 27:</w:t>
      </w:r>
    </w:p>
    <w:p w14:paraId="745573A3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Gdzie znajduje się miejsce przekazania odzyskanych opraw i urządzeń oraz kto zapewnia transport i protokół?</w:t>
      </w:r>
      <w:r>
        <w:rPr>
          <w:rFonts w:ascii="Verdana" w:hAnsi="Verdana"/>
          <w:sz w:val="18"/>
          <w:szCs w:val="18"/>
        </w:rPr>
        <w:t> </w:t>
      </w:r>
    </w:p>
    <w:p w14:paraId="0D422895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Odpowiedź:</w:t>
      </w:r>
    </w:p>
    <w:p w14:paraId="3E1B930D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wskaże miejsce przekazania odzyskanych opraw i urządzeń na terenie Miasteczka Studenckiego AGH. Transport i przygotowanie protokołu po stronie Wykonawcy.</w:t>
      </w:r>
    </w:p>
    <w:p w14:paraId="42E53908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 </w:t>
      </w:r>
    </w:p>
    <w:p w14:paraId="6EC9C38B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Pytanie 28:</w:t>
      </w:r>
    </w:p>
    <w:p w14:paraId="4D5F8AF4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Czy demontaż instalacji ma być prowadzony przy czynnym złączu, światłowodach i szafie </w:t>
      </w:r>
      <w:proofErr w:type="spellStart"/>
      <w:r>
        <w:rPr>
          <w:rFonts w:ascii="Verdana" w:hAnsi="Verdana"/>
          <w:i/>
          <w:iCs/>
          <w:sz w:val="18"/>
          <w:szCs w:val="18"/>
        </w:rPr>
        <w:t>CCTV?Prosimy</w:t>
      </w:r>
      <w:proofErr w:type="spellEnd"/>
      <w:r>
        <w:rPr>
          <w:rFonts w:ascii="Verdana" w:hAnsi="Verdana"/>
          <w:i/>
          <w:iCs/>
          <w:sz w:val="18"/>
          <w:szCs w:val="18"/>
        </w:rPr>
        <w:t xml:space="preserve"> o zatwierdzoną technologię i nadzór właścicieli sieci.</w:t>
      </w:r>
    </w:p>
    <w:p w14:paraId="65629C5D" w14:textId="77777777" w:rsidR="00155110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Odpowiedź: </w:t>
      </w:r>
    </w:p>
    <w:p w14:paraId="131580F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Należy utrzymać zasilanie istniejącej szafy CCTV. Technologia i nadzór po stronie Wykonawcy.</w:t>
      </w:r>
    </w:p>
    <w:p w14:paraId="3B005945" w14:textId="77777777" w:rsidR="00155110" w:rsidRPr="0002271A" w:rsidRDefault="00155110" w:rsidP="00155110">
      <w:pPr>
        <w:jc w:val="both"/>
        <w:rPr>
          <w:rFonts w:ascii="Verdana" w:hAnsi="Verdana"/>
          <w:sz w:val="18"/>
          <w:szCs w:val="18"/>
        </w:rPr>
      </w:pPr>
    </w:p>
    <w:p w14:paraId="176D7CF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29:</w:t>
      </w:r>
    </w:p>
    <w:p w14:paraId="5E60D65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istniejące elementy przeznaczone do ponownego montażu (ścianki/drzwi ppoż.) posiadają aktualną klasyfikację i nadają się do ponownego użycia?</w:t>
      </w:r>
    </w:p>
    <w:p w14:paraId="440BBF0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1ACD10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Istniejące elementy przeznaczone do ponownego montażu (ścianki/drzwi ppoż.) posiadają aktualną klasyfikację i nadają się do ponownego użycia.</w:t>
      </w:r>
    </w:p>
    <w:p w14:paraId="2DDADC3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03E32E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30:</w:t>
      </w:r>
    </w:p>
    <w:p w14:paraId="2D34498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Jaki jest zakres skuwania tynków: wszystkie ściany czy tylko ściany murowane/adaptowane i strefy uszkodzone?</w:t>
      </w:r>
    </w:p>
    <w:p w14:paraId="49F55F9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560E96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Skuwanie tynków dotyczy wszystkich ścian.</w:t>
      </w:r>
    </w:p>
    <w:p w14:paraId="51E66A6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0F8C0F4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31:</w:t>
      </w:r>
    </w:p>
    <w:p w14:paraId="0B32592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podkłady podłogowe są usuwane na wszystkich kondygnacjach w 100%, czy miejscowo?</w:t>
      </w:r>
      <w:r w:rsidRPr="0002271A">
        <w:rPr>
          <w:rFonts w:ascii="Verdana" w:hAnsi="Verdana"/>
          <w:sz w:val="18"/>
          <w:szCs w:val="18"/>
        </w:rPr>
        <w:t> </w:t>
      </w:r>
    </w:p>
    <w:p w14:paraId="25920E0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F30B72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Podkłady podłogowe należy usunąć w 100%.</w:t>
      </w:r>
    </w:p>
    <w:p w14:paraId="3AEF04C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E96DCF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32:</w:t>
      </w:r>
    </w:p>
    <w:p w14:paraId="7CA8FDE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ostateczne ilości stolarki według symboli Z2/Z3 oraz ich zgodność z rzutami A1–A7 i elewacjami A12–A13.</w:t>
      </w:r>
      <w:r w:rsidRPr="0002271A">
        <w:rPr>
          <w:rFonts w:ascii="Verdana" w:hAnsi="Verdana"/>
          <w:sz w:val="18"/>
          <w:szCs w:val="18"/>
        </w:rPr>
        <w:t> </w:t>
      </w:r>
    </w:p>
    <w:p w14:paraId="7A2143A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92E766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Zamawiający potwierdza, że ilości stolarki w zestawieniach Z2 i Z3 są prawidłowe.</w:t>
      </w:r>
    </w:p>
    <w:p w14:paraId="3681219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2F16A7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33:</w:t>
      </w:r>
    </w:p>
    <w:p w14:paraId="528EAA0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wskazanie ostateczne klasy drzwi: EI czy EIS, dymoszczelność, odporność, akustykę, kierunek otwierania i wyposażenie dla każdego symbolu.</w:t>
      </w:r>
      <w:r w:rsidRPr="0002271A">
        <w:rPr>
          <w:rFonts w:ascii="Verdana" w:hAnsi="Verdana"/>
          <w:sz w:val="18"/>
          <w:szCs w:val="18"/>
        </w:rPr>
        <w:t> </w:t>
      </w:r>
    </w:p>
    <w:p w14:paraId="461CC07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810F98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Wszystkie powyższe parametry drzwi zawarto w zestawieniach Z1.1, Z1, Z2, Z3, Z4 i Z5.</w:t>
      </w:r>
    </w:p>
    <w:p w14:paraId="1E41E83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17671F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lastRenderedPageBreak/>
        <w:t>Pytanie 34:</w:t>
      </w:r>
    </w:p>
    <w:p w14:paraId="17FE6DA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drzwi wymiennikowni mają mieć światło przejścia min. 1,20 m i jaką klasę ppoż.?</w:t>
      </w:r>
      <w:r>
        <w:rPr>
          <w:rFonts w:ascii="Verdana" w:hAnsi="Verdana"/>
          <w:i/>
          <w:iCs/>
          <w:sz w:val="18"/>
          <w:szCs w:val="18"/>
        </w:rPr>
        <w:t xml:space="preserve"> </w:t>
      </w:r>
      <w:r w:rsidRPr="0002271A">
        <w:rPr>
          <w:rFonts w:ascii="Verdana" w:hAnsi="Verdana"/>
          <w:i/>
          <w:iCs/>
          <w:sz w:val="18"/>
          <w:szCs w:val="18"/>
        </w:rPr>
        <w:t>Prosimy wskazać symbol w zestawieniu.</w:t>
      </w:r>
      <w:r w:rsidRPr="0002271A">
        <w:rPr>
          <w:rFonts w:ascii="Verdana" w:hAnsi="Verdana"/>
          <w:sz w:val="18"/>
          <w:szCs w:val="18"/>
        </w:rPr>
        <w:t> </w:t>
      </w:r>
    </w:p>
    <w:p w14:paraId="16C1EC4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892FBC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Wymagania dla drzwi wymiennikowni (DP2-EIS30) zawarte są w zestawieniu Z2.</w:t>
      </w:r>
    </w:p>
    <w:p w14:paraId="29D19E7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9B821C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35:</w:t>
      </w:r>
    </w:p>
    <w:p w14:paraId="57F4A92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podanie kompletny plan klucza Master/klucza centralnego, liczbę kluczy, poziomy dostępu i dostawcę wkładek.</w:t>
      </w:r>
    </w:p>
    <w:p w14:paraId="60094F0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029729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 zamki typu master należy wyposażyć każde drzwi z wyjątkiem drzwi do łazienek w pokojach. Klucz master należy dostarczyć w ilości 3 szt</w:t>
      </w:r>
      <w:r>
        <w:rPr>
          <w:rFonts w:ascii="Verdana" w:hAnsi="Verdana"/>
          <w:sz w:val="18"/>
          <w:szCs w:val="18"/>
        </w:rPr>
        <w:t>.</w:t>
      </w:r>
      <w:r w:rsidRPr="0002271A">
        <w:rPr>
          <w:rFonts w:ascii="Verdana" w:hAnsi="Verdana"/>
          <w:sz w:val="18"/>
          <w:szCs w:val="18"/>
        </w:rPr>
        <w:t xml:space="preserve">, klucze pokojowe w ilości 5 szt., klucze piętra piwnicy, parteru i pięter 1 do 4 po 2 szt., klucz do pomieszczenia administracji 2 szt., klucz techniczny 2 szt., klucze dla studentów po 3 szt. (pokój  i skład), klucze indywidualne do pomieszczeń technicznych i gospodarczych (w tym WC i WC </w:t>
      </w:r>
      <w:proofErr w:type="spellStart"/>
      <w:r w:rsidRPr="0002271A">
        <w:rPr>
          <w:rFonts w:ascii="Verdana" w:hAnsi="Verdana"/>
          <w:sz w:val="18"/>
          <w:szCs w:val="18"/>
        </w:rPr>
        <w:t>OzN</w:t>
      </w:r>
      <w:proofErr w:type="spellEnd"/>
      <w:r w:rsidRPr="0002271A">
        <w:rPr>
          <w:rFonts w:ascii="Verdana" w:hAnsi="Verdana"/>
          <w:sz w:val="18"/>
          <w:szCs w:val="18"/>
        </w:rPr>
        <w:t>) po 3 szt. Wybór dostawcy wkładek systemu klucza centralnego zależy od Wykonawcy. </w:t>
      </w:r>
    </w:p>
    <w:p w14:paraId="311D194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45F117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36:</w:t>
      </w:r>
    </w:p>
    <w:p w14:paraId="0E2D817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samozamykacze listwowe dotyczą wszystkich drzwi EI/EIS, i czy wymagane są trzymacze elektromagnetyczne lub centrale zamknięć?</w:t>
      </w:r>
      <w:r w:rsidRPr="0002271A">
        <w:rPr>
          <w:rFonts w:ascii="Verdana" w:hAnsi="Verdana"/>
          <w:sz w:val="18"/>
          <w:szCs w:val="18"/>
        </w:rPr>
        <w:t> </w:t>
      </w:r>
    </w:p>
    <w:p w14:paraId="02CD2C9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4338B3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obowiązującymi przepisami wszystkie drzwi ppoż. (EI/EIS) wymagają samozamykaczy. Trzymacze elektromagnetyczne i ich lokalizacja są przedstawione w  projekcie instalacji elektrycznych/słaboprądowych.</w:t>
      </w:r>
    </w:p>
    <w:p w14:paraId="186FD2D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4F7314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37:</w:t>
      </w:r>
    </w:p>
    <w:p w14:paraId="6A2A681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kratki wentylacyjne &gt;200 cm² w drzwiach łazienkowych muszą mieć parametry akustyczne lub ppoż.?</w:t>
      </w:r>
      <w:r w:rsidRPr="0002271A">
        <w:rPr>
          <w:rFonts w:ascii="Verdana" w:hAnsi="Verdana"/>
          <w:sz w:val="18"/>
          <w:szCs w:val="18"/>
        </w:rPr>
        <w:t> </w:t>
      </w:r>
    </w:p>
    <w:p w14:paraId="77E7A7B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0D194F1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Kratki wentylacyjne w drzwiach łazienkowych nie muszą mieć parametrów akustycznych oraz ppoż.</w:t>
      </w:r>
    </w:p>
    <w:p w14:paraId="1EFC609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5312CAB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38:</w:t>
      </w:r>
    </w:p>
    <w:p w14:paraId="12F78EF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Prosimy o potwierdzenie parametry okien: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Uw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≤0,9,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Ug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=0,6,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Rw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=35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dB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>, C5, klasa 8, klasa 4 oraz poprawną wartość współczynnika g.</w:t>
      </w:r>
      <w:r w:rsidRPr="0002271A">
        <w:rPr>
          <w:rFonts w:ascii="Verdana" w:hAnsi="Verdana"/>
          <w:sz w:val="18"/>
          <w:szCs w:val="18"/>
        </w:rPr>
        <w:t> </w:t>
      </w:r>
    </w:p>
    <w:p w14:paraId="3E358F2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7C2703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Powyższe parametry techniczne okien określono w zestawieniu stolarki okiennej Z1. Współczynnik </w:t>
      </w:r>
      <w:proofErr w:type="spellStart"/>
      <w:r w:rsidRPr="0002271A">
        <w:rPr>
          <w:rFonts w:ascii="Verdana" w:hAnsi="Verdana"/>
          <w:sz w:val="18"/>
          <w:szCs w:val="18"/>
        </w:rPr>
        <w:t>gn</w:t>
      </w:r>
      <w:proofErr w:type="spellEnd"/>
      <w:r w:rsidRPr="0002271A">
        <w:rPr>
          <w:rFonts w:ascii="Verdana" w:hAnsi="Verdana"/>
          <w:sz w:val="18"/>
          <w:szCs w:val="18"/>
        </w:rPr>
        <w:t>=0.55-0.65.</w:t>
      </w:r>
    </w:p>
    <w:p w14:paraId="6957B0A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4215CE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39:</w:t>
      </w:r>
    </w:p>
    <w:p w14:paraId="6EF6AA8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określenie WK2 należy rozumieć jako aktualną klasę RC2 i czy dotyczy wszystkich okien parteru/piwnicy?</w:t>
      </w:r>
      <w:r w:rsidRPr="0002271A">
        <w:rPr>
          <w:rFonts w:ascii="Verdana" w:hAnsi="Verdana"/>
          <w:sz w:val="18"/>
          <w:szCs w:val="18"/>
        </w:rPr>
        <w:t> </w:t>
      </w:r>
    </w:p>
    <w:p w14:paraId="07F9640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057FFA3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Tak, określenie WK2 należy rozumieć jako aktualną klasę RC2 i dotyczy to wszystkich okien parteru/piwnicy.</w:t>
      </w:r>
    </w:p>
    <w:p w14:paraId="19AE483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E14A5E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40:</w:t>
      </w:r>
    </w:p>
    <w:p w14:paraId="092DF69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kontaktory okienne w pokojach mają występować w liczbie 4 szt. na każde okno czy po jednym na każde otwierane skrzydło? Jaki system je odczytuje?</w:t>
      </w:r>
      <w:r w:rsidRPr="0002271A">
        <w:rPr>
          <w:rFonts w:ascii="Verdana" w:hAnsi="Verdana"/>
          <w:sz w:val="18"/>
          <w:szCs w:val="18"/>
        </w:rPr>
        <w:t> </w:t>
      </w:r>
    </w:p>
    <w:p w14:paraId="435A175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723E0A3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Tak, na oknach w pokojach studenckich należy zamontować po 4 szt. </w:t>
      </w:r>
      <w:proofErr w:type="spellStart"/>
      <w:r w:rsidRPr="0002271A">
        <w:rPr>
          <w:rFonts w:ascii="Verdana" w:hAnsi="Verdana"/>
          <w:sz w:val="18"/>
          <w:szCs w:val="18"/>
        </w:rPr>
        <w:t>kontraktonów</w:t>
      </w:r>
      <w:proofErr w:type="spellEnd"/>
      <w:r w:rsidRPr="0002271A">
        <w:rPr>
          <w:rFonts w:ascii="Verdana" w:hAnsi="Verdana"/>
          <w:sz w:val="18"/>
          <w:szCs w:val="18"/>
        </w:rPr>
        <w:t xml:space="preserve"> - po jednym na każde skrzydło. Informacje z </w:t>
      </w:r>
      <w:proofErr w:type="spellStart"/>
      <w:r w:rsidRPr="0002271A">
        <w:rPr>
          <w:rFonts w:ascii="Verdana" w:hAnsi="Verdana"/>
          <w:sz w:val="18"/>
          <w:szCs w:val="18"/>
        </w:rPr>
        <w:t>kontraktonów</w:t>
      </w:r>
      <w:proofErr w:type="spellEnd"/>
      <w:r w:rsidRPr="0002271A">
        <w:rPr>
          <w:rFonts w:ascii="Verdana" w:hAnsi="Verdana"/>
          <w:sz w:val="18"/>
          <w:szCs w:val="18"/>
        </w:rPr>
        <w:t xml:space="preserve"> będą odczytywane przez system sterowania ogrzewaniem.</w:t>
      </w:r>
    </w:p>
    <w:p w14:paraId="511AE73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02570A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41:</w:t>
      </w:r>
    </w:p>
    <w:p w14:paraId="0760065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Prosimy o wskazanie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lokalizacj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i stronę kolorystyczną okien dwukolorowych (czarne od wewnątrz/białe od zewnątrz).</w:t>
      </w:r>
      <w:r w:rsidRPr="0002271A">
        <w:rPr>
          <w:rFonts w:ascii="Verdana" w:hAnsi="Verdana"/>
          <w:sz w:val="18"/>
          <w:szCs w:val="18"/>
        </w:rPr>
        <w:t> </w:t>
      </w:r>
    </w:p>
    <w:p w14:paraId="09E1317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F33A2F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Okna dwukolorowe w pomieszczeniach 411a, 0.13 (sale telewizyjne) - czarne od wewnątrz, białe od zewnątrz.</w:t>
      </w:r>
    </w:p>
    <w:p w14:paraId="1AFF6D1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5408EE4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42:</w:t>
      </w:r>
    </w:p>
    <w:p w14:paraId="75A9512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Jak rozliczać profile poszerzające, naprawy ościeży, podcięcia ścian i przemurowania ujawnione po demontażu okien?</w:t>
      </w:r>
      <w:r w:rsidRPr="0002271A">
        <w:rPr>
          <w:rFonts w:ascii="Verdana" w:hAnsi="Verdana"/>
          <w:sz w:val="18"/>
          <w:szCs w:val="18"/>
        </w:rPr>
        <w:t> </w:t>
      </w:r>
    </w:p>
    <w:p w14:paraId="7B9C77E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CB0AE4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lastRenderedPageBreak/>
        <w:t>Naprawa ościeży została ujęta w przedmiarze z pozycji wykonania tynków. Przemurowania zostały ujęte w przedmiarze w pozycji robót murowych. Profile poszerzające należy zastosować zgodnie z opisem technicznym w pkt. 14.25 części opisowej projektu.</w:t>
      </w:r>
    </w:p>
    <w:p w14:paraId="611A15F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 </w:t>
      </w:r>
    </w:p>
    <w:p w14:paraId="40CA2FA0" w14:textId="77777777" w:rsidR="00155110" w:rsidRDefault="00155110" w:rsidP="00155110">
      <w:pPr>
        <w:rPr>
          <w:rFonts w:ascii="Verdana" w:hAnsi="Verdana"/>
          <w:b/>
          <w:bCs/>
          <w:sz w:val="18"/>
          <w:szCs w:val="18"/>
        </w:rPr>
      </w:pPr>
    </w:p>
    <w:p w14:paraId="2791E71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43:</w:t>
      </w:r>
    </w:p>
    <w:p w14:paraId="235C232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Prosimy o potwierdzenie parametry witryn: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Ucw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>&lt;0,9, szklenie 6ESG/16/6ESG/16/44.4 VSG, g&lt;35%, AE/RE 1200 i 2400 Pa oraz wykazać możliwość uzyskania tych parametrów dla rzeczywistych wymiarów.</w:t>
      </w:r>
    </w:p>
    <w:p w14:paraId="20BD139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0A556D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Parametry techniczne witryn określono w zestawieniu ślusarki Z4 i Z5. Uzyskanie wymaganych parametrów leży po stronie Wykonawcy.</w:t>
      </w:r>
    </w:p>
    <w:p w14:paraId="3200EE1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8BAB17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44:</w:t>
      </w:r>
    </w:p>
    <w:p w14:paraId="5D37C6A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Gdzie dokładnie mają być dwa uchylne nadświetla na każdy zestaw witryn?</w:t>
      </w:r>
      <w:r w:rsidRPr="0002271A">
        <w:rPr>
          <w:rFonts w:ascii="Verdana" w:hAnsi="Verdana"/>
          <w:sz w:val="18"/>
          <w:szCs w:val="18"/>
        </w:rPr>
        <w:t> </w:t>
      </w:r>
    </w:p>
    <w:p w14:paraId="3FCDB28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146395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Uchylne nadświetla w ilości dwóch na każdy zestaw witryn należy wykonać na polach skrajnych.</w:t>
      </w:r>
    </w:p>
    <w:p w14:paraId="0E135C3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7C62D2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45:</w:t>
      </w:r>
    </w:p>
    <w:p w14:paraId="28BF3CB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materiał parapetów wewnętrznych, grubość 3 cm i nietypowy zapis szerokości max 7 cm/długości 250 cm.</w:t>
      </w:r>
      <w:r w:rsidRPr="0002271A">
        <w:rPr>
          <w:rFonts w:ascii="Verdana" w:hAnsi="Verdana"/>
          <w:sz w:val="18"/>
          <w:szCs w:val="18"/>
        </w:rPr>
        <w:t> </w:t>
      </w:r>
    </w:p>
    <w:p w14:paraId="4B87E7A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7CEE8F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Parapety wewnętrzne przedstawiono na rysunku D5, materiał granit. </w:t>
      </w:r>
      <w:r w:rsidRPr="00D96FDA">
        <w:rPr>
          <w:rFonts w:ascii="Verdana" w:hAnsi="Verdana"/>
          <w:sz w:val="18"/>
          <w:szCs w:val="18"/>
          <w:u w:val="single"/>
        </w:rPr>
        <w:t>Zapis “szerokości max 7 cm/długości 250 cm” jest nieprawidłowy, nie</w:t>
      </w:r>
      <w:r>
        <w:rPr>
          <w:rFonts w:ascii="Verdana" w:hAnsi="Verdana"/>
          <w:sz w:val="18"/>
          <w:szCs w:val="18"/>
          <w:u w:val="single"/>
        </w:rPr>
        <w:t xml:space="preserve"> należy go </w:t>
      </w:r>
      <w:r w:rsidRPr="00D96FDA">
        <w:rPr>
          <w:rFonts w:ascii="Verdana" w:hAnsi="Verdana"/>
          <w:sz w:val="18"/>
          <w:szCs w:val="18"/>
          <w:u w:val="single"/>
        </w:rPr>
        <w:t>uwzględniać</w:t>
      </w:r>
      <w:r w:rsidRPr="0002271A">
        <w:rPr>
          <w:rFonts w:ascii="Verdana" w:hAnsi="Verdana"/>
          <w:sz w:val="18"/>
          <w:szCs w:val="18"/>
        </w:rPr>
        <w:t>.</w:t>
      </w:r>
    </w:p>
    <w:p w14:paraId="17CBB91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D87DEF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46:</w:t>
      </w:r>
    </w:p>
    <w:p w14:paraId="6081E4D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Czy izolacja akustyczna podłóg ma grubość 6 mm czy 10 mm w poszczególnych pomieszczeniach i jaki wymagany parametr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ΔLw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>?</w:t>
      </w:r>
      <w:r w:rsidRPr="0002271A">
        <w:rPr>
          <w:rFonts w:ascii="Verdana" w:hAnsi="Verdana"/>
          <w:sz w:val="18"/>
          <w:szCs w:val="18"/>
        </w:rPr>
        <w:t> </w:t>
      </w:r>
    </w:p>
    <w:p w14:paraId="723461E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E9D6A7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Parametry </w:t>
      </w:r>
      <w:proofErr w:type="spellStart"/>
      <w:r w:rsidRPr="0002271A">
        <w:rPr>
          <w:rFonts w:ascii="Verdana" w:hAnsi="Verdana"/>
          <w:sz w:val="18"/>
          <w:szCs w:val="18"/>
        </w:rPr>
        <w:t>ΔLw</w:t>
      </w:r>
      <w:proofErr w:type="spellEnd"/>
      <w:r w:rsidRPr="0002271A">
        <w:rPr>
          <w:rFonts w:ascii="Verdana" w:hAnsi="Verdana"/>
          <w:sz w:val="18"/>
          <w:szCs w:val="18"/>
        </w:rPr>
        <w:t xml:space="preserve"> opisano w punkcie 14.7 części opisowej projektu. Grubość izolacji akustycznej podłóg to 10mm w pokojach studenckich z wykładziną PCW i 6mm w pozostałych pomieszczeniach z wykładziną </w:t>
      </w:r>
      <w:proofErr w:type="spellStart"/>
      <w:r w:rsidRPr="0002271A">
        <w:rPr>
          <w:rFonts w:ascii="Verdana" w:hAnsi="Verdana"/>
          <w:sz w:val="18"/>
          <w:szCs w:val="18"/>
        </w:rPr>
        <w:t>gresową</w:t>
      </w:r>
      <w:proofErr w:type="spellEnd"/>
      <w:r w:rsidRPr="0002271A">
        <w:rPr>
          <w:rFonts w:ascii="Verdana" w:hAnsi="Verdana"/>
          <w:sz w:val="18"/>
          <w:szCs w:val="18"/>
        </w:rPr>
        <w:t>.</w:t>
      </w:r>
    </w:p>
    <w:p w14:paraId="5809EE8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010C40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47:</w:t>
      </w:r>
    </w:p>
    <w:p w14:paraId="6E3E0F1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Czy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przedścianki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akustyczne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Rw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=59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dB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mają być wykonane w pełnym zakresie ścian pralni, suszarni i serwerowni?</w:t>
      </w:r>
      <w:r w:rsidRPr="0002271A">
        <w:rPr>
          <w:rFonts w:ascii="Verdana" w:hAnsi="Verdana"/>
          <w:sz w:val="18"/>
          <w:szCs w:val="18"/>
        </w:rPr>
        <w:t> </w:t>
      </w:r>
    </w:p>
    <w:p w14:paraId="5DD60CE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77B98CB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proofErr w:type="spellStart"/>
      <w:r w:rsidRPr="0002271A">
        <w:rPr>
          <w:rFonts w:ascii="Verdana" w:hAnsi="Verdana"/>
          <w:sz w:val="18"/>
          <w:szCs w:val="18"/>
        </w:rPr>
        <w:t>Przedścianki</w:t>
      </w:r>
      <w:proofErr w:type="spellEnd"/>
      <w:r w:rsidRPr="0002271A">
        <w:rPr>
          <w:rFonts w:ascii="Verdana" w:hAnsi="Verdana"/>
          <w:sz w:val="18"/>
          <w:szCs w:val="18"/>
        </w:rPr>
        <w:t xml:space="preserve"> akustyczne mają być wykonane na ścianach pralni i suszarni od strony pokoi studenckich oraz od strony klatki.</w:t>
      </w:r>
    </w:p>
    <w:p w14:paraId="245885C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30FE9F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48:</w:t>
      </w:r>
    </w:p>
    <w:p w14:paraId="4490ADE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klasę REI60 obudów wszystkich pionów i poziomów oraz liczbę i klasę klap rewizyjnych.</w:t>
      </w:r>
      <w:r w:rsidRPr="0002271A">
        <w:rPr>
          <w:rFonts w:ascii="Verdana" w:hAnsi="Verdana"/>
          <w:sz w:val="18"/>
          <w:szCs w:val="18"/>
        </w:rPr>
        <w:t> </w:t>
      </w:r>
    </w:p>
    <w:p w14:paraId="7D6C883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7B2147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Wszystkie piony i poziomy mają być obudowane w klasie REI60. Liczba i klasa klap rewizyjnych zgodnie z przedmiarem oraz rysunkami D3 i D4.</w:t>
      </w:r>
    </w:p>
    <w:p w14:paraId="15C7467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8E5F52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49:</w:t>
      </w:r>
    </w:p>
    <w:p w14:paraId="48FBABE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wszystkie dylatacje mają zostać odtworzone w warstwach wykończeniowych i czy istnieje inwentaryzacja dylatacji konstrukcyjnych?</w:t>
      </w:r>
      <w:r w:rsidRPr="0002271A">
        <w:rPr>
          <w:rFonts w:ascii="Verdana" w:hAnsi="Verdana"/>
          <w:sz w:val="18"/>
          <w:szCs w:val="18"/>
        </w:rPr>
        <w:t> </w:t>
      </w:r>
    </w:p>
    <w:p w14:paraId="79FF37C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F0BAC3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Na całej długości budynku nie występują dylatacje konstrukcyjne.</w:t>
      </w:r>
    </w:p>
    <w:p w14:paraId="0DDB0C4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2773E10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50:</w:t>
      </w:r>
    </w:p>
    <w:p w14:paraId="238BC6F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podanie pełne zestawienie oznakowania, numerów pomieszczeń, napisów piętrowych, planów ewakuacji i elementów brajlowskich.</w:t>
      </w:r>
    </w:p>
    <w:p w14:paraId="445BF4C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16C9447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25547F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Oznakowanie, numery pomieszczeń, napisy piętrowe, planów ewakuacji i elementów “brajlowskich” należy wycenić zgodnie z rysunkami D16 i D17 oraz rzutami kondygnacji. Elementy “brajlowskie” są określone w punkcie 10 części opisowej projektu.</w:t>
      </w:r>
    </w:p>
    <w:p w14:paraId="5CB7101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5F247F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51:</w:t>
      </w:r>
    </w:p>
    <w:p w14:paraId="6AC0566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lastRenderedPageBreak/>
        <w:t>Jaki jest dokładny zakres wymiany płyt dachowych, napraw attyk i wzmocnień belek? Czy dostępne są wyniki odkrywek dachu?</w:t>
      </w:r>
      <w:r w:rsidRPr="0002271A">
        <w:rPr>
          <w:rFonts w:ascii="Verdana" w:hAnsi="Verdana"/>
          <w:sz w:val="18"/>
          <w:szCs w:val="18"/>
        </w:rPr>
        <w:t> </w:t>
      </w:r>
    </w:p>
    <w:p w14:paraId="6FBF8EB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2D433B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Prace związane z wymianą płyt dachowych, naprawą attyk i wzmocnieniem belek należy wykonać zgodnie z przedmiarem i pkt. 14.38 części opisowej projektu. Zamawiający nie dysponuje wynikami odkrywek.</w:t>
      </w:r>
    </w:p>
    <w:p w14:paraId="41D0D6E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52:</w:t>
      </w:r>
    </w:p>
    <w:p w14:paraId="03D183E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Czy tymczasowe szczelne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przekrycie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dachu ma obejmować całość, etapy robót czy tylko otwarte strefy?</w:t>
      </w:r>
    </w:p>
    <w:p w14:paraId="17BE3E4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7867682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Zadaniem tymczasowego, szczelnego </w:t>
      </w:r>
      <w:proofErr w:type="spellStart"/>
      <w:r w:rsidRPr="0002271A">
        <w:rPr>
          <w:rFonts w:ascii="Verdana" w:hAnsi="Verdana"/>
          <w:sz w:val="18"/>
          <w:szCs w:val="18"/>
        </w:rPr>
        <w:t>przekrycia</w:t>
      </w:r>
      <w:proofErr w:type="spellEnd"/>
      <w:r w:rsidRPr="0002271A">
        <w:rPr>
          <w:rFonts w:ascii="Verdana" w:hAnsi="Verdana"/>
          <w:sz w:val="18"/>
          <w:szCs w:val="18"/>
        </w:rPr>
        <w:t xml:space="preserve"> dachu jest uniemożliwienie zalania budynku w trakcie wykonywania robót budowlanych. Zakres, sposób oraz czas wykonania </w:t>
      </w:r>
      <w:proofErr w:type="spellStart"/>
      <w:r w:rsidRPr="0002271A">
        <w:rPr>
          <w:rFonts w:ascii="Verdana" w:hAnsi="Verdana"/>
          <w:sz w:val="18"/>
          <w:szCs w:val="18"/>
        </w:rPr>
        <w:t>przekrycia</w:t>
      </w:r>
      <w:proofErr w:type="spellEnd"/>
      <w:r w:rsidRPr="0002271A">
        <w:rPr>
          <w:rFonts w:ascii="Verdana" w:hAnsi="Verdana"/>
          <w:sz w:val="18"/>
          <w:szCs w:val="18"/>
        </w:rPr>
        <w:t xml:space="preserve"> zależy od Wykonawcy.</w:t>
      </w:r>
    </w:p>
    <w:p w14:paraId="32139BE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54FB60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53:</w:t>
      </w:r>
    </w:p>
    <w:p w14:paraId="4E06A8E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system i grubość membrany dachowej oraz wymagania gwarancji systemowej.</w:t>
      </w:r>
    </w:p>
    <w:p w14:paraId="708A332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00DA4B5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opisem pkt. 14.30 części opisowej projektu, grubość membrany wynosi 1,5mm. Zgodnie z opisem w części z wymaganiami dodatkowymi w pkt. 4.1 SWZ (strona 10) Zamawiający wymaga udzielenie 60 miesięcy gwarancji na całość robót wykonanych w związku z konstrukcją dachu oraz na wszystkie dostarczone w związku z tym materiały.</w:t>
      </w:r>
    </w:p>
    <w:p w14:paraId="518859F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6EF1B2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54:</w:t>
      </w:r>
    </w:p>
    <w:p w14:paraId="4DF1EA6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konstrukcja pod centrale na dachu została sprawdzona dla ostatecznych mas, wymiarów, obciążeń dynamicznych i punktów podparcia urządzeń?</w:t>
      </w:r>
      <w:r w:rsidRPr="0002271A">
        <w:rPr>
          <w:rFonts w:ascii="Verdana" w:hAnsi="Verdana"/>
          <w:sz w:val="18"/>
          <w:szCs w:val="18"/>
        </w:rPr>
        <w:t> </w:t>
      </w:r>
    </w:p>
    <w:p w14:paraId="54BB659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4350D5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Tak, konstrukcja pod centrale na dachu została sprawdzona dla ostatecznych mas, wymiarów, obciążeń dynamicznych i punktów podparcia urządzeń.</w:t>
      </w:r>
    </w:p>
    <w:p w14:paraId="724DF1B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</w:p>
    <w:p w14:paraId="333EBFE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55:</w:t>
      </w:r>
    </w:p>
    <w:p w14:paraId="095543F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wskazanie wymaganą klasę zabezpieczenia ppoż. i antykorozyjnego każdej konstrukcji stalowej dachu.</w:t>
      </w:r>
      <w:r w:rsidRPr="0002271A">
        <w:rPr>
          <w:rFonts w:ascii="Verdana" w:hAnsi="Verdana"/>
          <w:sz w:val="18"/>
          <w:szCs w:val="18"/>
        </w:rPr>
        <w:t> </w:t>
      </w:r>
    </w:p>
    <w:p w14:paraId="271CE09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9E047B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Odporność pożarowa elementów budynku została przedstawiona w punkcie 16.7 opisu projektu architektoniczno-budowlanego będącego częścią opisanych warunków ochrony pożarowej w budynku. Elementy konstrukcji dachu mają być wykonane w klasie opisanej w powyższym punkcie. Klasa korozyjności C3.</w:t>
      </w:r>
    </w:p>
    <w:p w14:paraId="4C2AEE1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25FC1F2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56:</w:t>
      </w:r>
    </w:p>
    <w:p w14:paraId="5443E34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podesty dachowe mają wysokości 140 i 70 cm zgodnie z opisem, i czy różnice poziomów zostały zweryfikowane?</w:t>
      </w:r>
      <w:r w:rsidRPr="0002271A">
        <w:rPr>
          <w:rFonts w:ascii="Verdana" w:hAnsi="Verdana"/>
          <w:sz w:val="18"/>
          <w:szCs w:val="18"/>
        </w:rPr>
        <w:t> </w:t>
      </w:r>
    </w:p>
    <w:p w14:paraId="4B71DE0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A605D5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Tak, zgodnie z opisem podesty dachowe mają wysokości 140 i 70 cm. Różnice poziomów zostały zweryfikowane.</w:t>
      </w:r>
    </w:p>
    <w:p w14:paraId="0DEA549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1BBC0E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57:</w:t>
      </w:r>
    </w:p>
    <w:p w14:paraId="4AE34F0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materiał pomostu określony jako 'nylon dekarski' oraz parametry antypoślizgowe i nośność.</w:t>
      </w:r>
      <w:r w:rsidRPr="0002271A">
        <w:rPr>
          <w:rFonts w:ascii="Verdana" w:hAnsi="Verdana"/>
          <w:sz w:val="18"/>
          <w:szCs w:val="18"/>
        </w:rPr>
        <w:t> </w:t>
      </w:r>
    </w:p>
    <w:p w14:paraId="0D5BB0E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119EADA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opisem pkt 14.46 części opisowej projektu materiał pomostu to nylon dekarski. Stopnie systemowe są ażurowe i antypoślizgowe, nośność min. 150kg/m</w:t>
      </w:r>
      <w:r w:rsidRPr="0002271A">
        <w:rPr>
          <w:rFonts w:ascii="Verdana" w:hAnsi="Verdana"/>
          <w:sz w:val="18"/>
          <w:szCs w:val="18"/>
          <w:vertAlign w:val="superscript"/>
        </w:rPr>
        <w:t>2</w:t>
      </w:r>
      <w:r w:rsidRPr="0002271A">
        <w:rPr>
          <w:rFonts w:ascii="Verdana" w:hAnsi="Verdana"/>
          <w:sz w:val="18"/>
          <w:szCs w:val="18"/>
        </w:rPr>
        <w:t>. </w:t>
      </w:r>
    </w:p>
    <w:p w14:paraId="0F79367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82C2A2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58:</w:t>
      </w:r>
    </w:p>
    <w:p w14:paraId="115B1F9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rozmieszczenie PV, central, kanałów, podestów, wyłazu, klapy dymowej i masztów odgromowych zostało skoordynowane na jednym rzucie?</w:t>
      </w:r>
      <w:r w:rsidRPr="0002271A">
        <w:rPr>
          <w:rFonts w:ascii="Verdana" w:hAnsi="Verdana"/>
          <w:sz w:val="18"/>
          <w:szCs w:val="18"/>
        </w:rPr>
        <w:t> </w:t>
      </w:r>
    </w:p>
    <w:p w14:paraId="6FD6FD5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5C2535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Rozmieszczenie PV, central, kanałów, podestów, wyłazu, klapy dymowej i masztów odgromowych zostało pokazane na rys. A7.</w:t>
      </w:r>
    </w:p>
    <w:p w14:paraId="2B031A6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117A77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59:</w:t>
      </w:r>
    </w:p>
    <w:p w14:paraId="737FA0B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kotwy alpinistyczne posiadają projekt systemu asekuracji, obliczenia, certyfikację, trasę użytkowania i plan kontroli okresowych?</w:t>
      </w:r>
      <w:r w:rsidRPr="0002271A">
        <w:rPr>
          <w:rFonts w:ascii="Verdana" w:hAnsi="Verdana"/>
          <w:sz w:val="18"/>
          <w:szCs w:val="18"/>
        </w:rPr>
        <w:t> </w:t>
      </w:r>
    </w:p>
    <w:p w14:paraId="0244B62B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210D3982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lastRenderedPageBreak/>
        <w:t>Zamawiający nie posiada powyższego projektu. Proszę wycenić wyłącznie montaż kotew zgodnie z projektem.</w:t>
      </w:r>
    </w:p>
    <w:p w14:paraId="1363F85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7D39D57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60:</w:t>
      </w:r>
    </w:p>
    <w:p w14:paraId="2EC0716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podanie dokładne powierzchnie malowania elewacji, wymiany ocieplenia i okładzin wentylowanych.</w:t>
      </w:r>
      <w:r w:rsidRPr="0002271A">
        <w:rPr>
          <w:rFonts w:ascii="Verdana" w:hAnsi="Verdana"/>
          <w:sz w:val="18"/>
          <w:szCs w:val="18"/>
        </w:rPr>
        <w:t> </w:t>
      </w:r>
    </w:p>
    <w:p w14:paraId="27CC726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94D093E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Powierzchnie elewacji do malowania i wymiany ocieplenia oraz okładzin wentylowanych zostały ujęte w przedmiarze. </w:t>
      </w:r>
    </w:p>
    <w:p w14:paraId="4B68821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61:</w:t>
      </w:r>
    </w:p>
    <w:p w14:paraId="03537BC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zakres nowej kostki i zakres wymiany istniejącej oraz podać powierzchnie i krawężniki/obrzeża.</w:t>
      </w:r>
      <w:r w:rsidRPr="0002271A">
        <w:rPr>
          <w:rFonts w:ascii="Verdana" w:hAnsi="Verdana"/>
          <w:sz w:val="18"/>
          <w:szCs w:val="18"/>
        </w:rPr>
        <w:t> </w:t>
      </w:r>
    </w:p>
    <w:p w14:paraId="34C06FD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58E555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Powierzchnie nowej kostki chodnikowej do wykonania, zakres kostki chodnikowej do wymiany, ilości krawężnika i obrzeża zostały ujęte w przedmiarze.</w:t>
      </w:r>
    </w:p>
    <w:p w14:paraId="506C756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BE0838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62:</w:t>
      </w:r>
    </w:p>
    <w:p w14:paraId="1F2291B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warstwa 20 cm żużla wielkopiecowego jest obligatoryjna, czy dopuszcza się kruszywo naturalne/łamane o równoważnych parametrach?</w:t>
      </w:r>
      <w:r w:rsidRPr="0002271A">
        <w:rPr>
          <w:rFonts w:ascii="Verdana" w:hAnsi="Verdana"/>
          <w:sz w:val="18"/>
          <w:szCs w:val="18"/>
        </w:rPr>
        <w:t> </w:t>
      </w:r>
    </w:p>
    <w:p w14:paraId="0C3D9C1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298BF3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Zamawiający dopuszcza zamianę żużla wielkopiecowego na kruszywo naturalne/łamane o równoważnych parametrach.</w:t>
      </w:r>
    </w:p>
    <w:p w14:paraId="28ECA408" w14:textId="77777777" w:rsidR="00155110" w:rsidRDefault="00155110" w:rsidP="00155110">
      <w:pPr>
        <w:rPr>
          <w:rFonts w:ascii="Verdana" w:hAnsi="Verdana"/>
          <w:sz w:val="18"/>
          <w:szCs w:val="18"/>
        </w:rPr>
      </w:pPr>
    </w:p>
    <w:p w14:paraId="195D94D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63:</w:t>
      </w:r>
    </w:p>
    <w:p w14:paraId="3623859F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znane są rzędne i spadki nowych nawierzchni oraz kolizje z włazami, sieciami i ciepłociągiem?</w:t>
      </w:r>
      <w:r w:rsidRPr="0002271A">
        <w:rPr>
          <w:rFonts w:ascii="Verdana" w:hAnsi="Verdana"/>
          <w:sz w:val="18"/>
          <w:szCs w:val="18"/>
        </w:rPr>
        <w:t> </w:t>
      </w:r>
    </w:p>
    <w:p w14:paraId="0BCA013A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F9DC71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Rzędne istniejące są podane na mapie zasadniczej. Brak kolizji z włazami, sieciami i ciepłociągiem.</w:t>
      </w:r>
    </w:p>
    <w:p w14:paraId="42EB9FF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64647BB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64:</w:t>
      </w:r>
    </w:p>
    <w:p w14:paraId="7DEA925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określenie zakres odtworzenia trawników po robotach wszystkich branż i standard odbioru zieleni.</w:t>
      </w:r>
      <w:r w:rsidRPr="0002271A">
        <w:rPr>
          <w:rFonts w:ascii="Verdana" w:hAnsi="Verdana"/>
          <w:sz w:val="18"/>
          <w:szCs w:val="18"/>
        </w:rPr>
        <w:t> </w:t>
      </w:r>
    </w:p>
    <w:p w14:paraId="2AFCE74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43424AC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Zakres odtworzenia trawników po robotach został ujęty w przedmiarze. Standard odbioru określa Specyfikacja Techniczna.</w:t>
      </w:r>
    </w:p>
    <w:p w14:paraId="613B1A3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369A81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65:</w:t>
      </w:r>
    </w:p>
    <w:p w14:paraId="77625AB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 xml:space="preserve">Czy lokalizacja pojemników </w:t>
      </w:r>
      <w:proofErr w:type="spellStart"/>
      <w:r w:rsidRPr="0002271A">
        <w:rPr>
          <w:rFonts w:ascii="Verdana" w:hAnsi="Verdana"/>
          <w:i/>
          <w:iCs/>
          <w:sz w:val="18"/>
          <w:szCs w:val="18"/>
        </w:rPr>
        <w:t>półpodziemnych</w:t>
      </w:r>
      <w:proofErr w:type="spellEnd"/>
      <w:r w:rsidRPr="0002271A">
        <w:rPr>
          <w:rFonts w:ascii="Verdana" w:hAnsi="Verdana"/>
          <w:i/>
          <w:iCs/>
          <w:sz w:val="18"/>
          <w:szCs w:val="18"/>
        </w:rPr>
        <w:t xml:space="preserve"> została uzgodniona z sieciami, geotechniką,</w:t>
      </w:r>
      <w:r w:rsidRPr="0002271A">
        <w:rPr>
          <w:rFonts w:ascii="Verdana" w:hAnsi="Verdana"/>
          <w:sz w:val="18"/>
          <w:szCs w:val="18"/>
        </w:rPr>
        <w:t xml:space="preserve"> </w:t>
      </w:r>
      <w:r w:rsidRPr="0002271A">
        <w:rPr>
          <w:rFonts w:ascii="Verdana" w:hAnsi="Verdana"/>
          <w:i/>
          <w:iCs/>
          <w:sz w:val="18"/>
          <w:szCs w:val="18"/>
        </w:rPr>
        <w:t>drogą obsługi i pojazdem odbierającym odpady?</w:t>
      </w:r>
      <w:r w:rsidRPr="0002271A">
        <w:rPr>
          <w:rFonts w:ascii="Verdana" w:hAnsi="Verdana"/>
          <w:sz w:val="18"/>
          <w:szCs w:val="18"/>
        </w:rPr>
        <w:t> </w:t>
      </w:r>
    </w:p>
    <w:p w14:paraId="133EE89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F6D8EB1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Tak, lokalizacja pojemników </w:t>
      </w:r>
      <w:proofErr w:type="spellStart"/>
      <w:r w:rsidRPr="0002271A">
        <w:rPr>
          <w:rFonts w:ascii="Verdana" w:hAnsi="Verdana"/>
          <w:sz w:val="18"/>
          <w:szCs w:val="18"/>
        </w:rPr>
        <w:t>półpodziemnych</w:t>
      </w:r>
      <w:proofErr w:type="spellEnd"/>
      <w:r w:rsidRPr="0002271A">
        <w:rPr>
          <w:rFonts w:ascii="Verdana" w:hAnsi="Verdana"/>
          <w:sz w:val="18"/>
          <w:szCs w:val="18"/>
        </w:rPr>
        <w:t xml:space="preserve"> została uzgodniona z sieciami, geotechniką, drogą obsługi i pojazdem odbierającym odpady.</w:t>
      </w:r>
    </w:p>
    <w:p w14:paraId="5908121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25AAC483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66:</w:t>
      </w:r>
    </w:p>
    <w:p w14:paraId="2341AC5C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potwierdzenie pojemności i ilości pojemników: 2×5000 l, 1×3000 l papier, 1×3000 l tworzywa, 1×1500 l szkło.</w:t>
      </w:r>
      <w:r w:rsidRPr="0002271A">
        <w:rPr>
          <w:rFonts w:ascii="Verdana" w:hAnsi="Verdana"/>
          <w:sz w:val="18"/>
          <w:szCs w:val="18"/>
        </w:rPr>
        <w:t> </w:t>
      </w:r>
    </w:p>
    <w:p w14:paraId="297E05F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62B68AB9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Zamawiający potwierdza wskazane w pytaniu ilości i pojemności pojemników.</w:t>
      </w:r>
    </w:p>
    <w:p w14:paraId="0FF4C07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3B874B6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67:</w:t>
      </w:r>
    </w:p>
    <w:p w14:paraId="50636EA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Czy ławka ZA6 ma być z drewna czy materiału pokazanego na rysunku i ile sztuk jest w zakresie?</w:t>
      </w:r>
      <w:r w:rsidRPr="0002271A">
        <w:rPr>
          <w:rFonts w:ascii="Verdana" w:hAnsi="Verdana"/>
          <w:sz w:val="18"/>
          <w:szCs w:val="18"/>
        </w:rPr>
        <w:t> </w:t>
      </w:r>
    </w:p>
    <w:p w14:paraId="1199C3A8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52F3D19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Zgodnie z opisem pkt. 14.42 części opisowej projektu wykonawczego architektury, ilość ławek Ł1 z rysunku ZA6 określono na 8 szt. Materiał to drewno jesionowe lub olchowe malowane metodą ciśnieniową, konstrukcja metalowa malowana proszkowo na kolor czarny.</w:t>
      </w:r>
    </w:p>
    <w:p w14:paraId="6EBC1AE4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> </w:t>
      </w:r>
    </w:p>
    <w:p w14:paraId="41608DE5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Pytanie 68:</w:t>
      </w:r>
    </w:p>
    <w:p w14:paraId="303067C7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i/>
          <w:iCs/>
          <w:sz w:val="18"/>
          <w:szCs w:val="18"/>
        </w:rPr>
        <w:t>Prosimy o wyjaśnienie rozbieżność materiału stojaków rowerowych: ZA3 wskazuje stal ocynkowaną, opis techniczny stal nierdzewną.</w:t>
      </w:r>
      <w:r w:rsidRPr="0002271A">
        <w:rPr>
          <w:rFonts w:ascii="Verdana" w:hAnsi="Verdana"/>
          <w:sz w:val="18"/>
          <w:szCs w:val="18"/>
        </w:rPr>
        <w:t> </w:t>
      </w:r>
    </w:p>
    <w:p w14:paraId="4C0A121D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b/>
          <w:bCs/>
          <w:sz w:val="18"/>
          <w:szCs w:val="18"/>
        </w:rPr>
        <w:t>Odpowiedź:</w:t>
      </w:r>
    </w:p>
    <w:p w14:paraId="3965ADB0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  <w:r w:rsidRPr="0002271A">
        <w:rPr>
          <w:rFonts w:ascii="Verdana" w:hAnsi="Verdana"/>
          <w:sz w:val="18"/>
          <w:szCs w:val="18"/>
        </w:rPr>
        <w:t xml:space="preserve">Wiaty na rowery i stojaki przedstawione na rys. ZA2 - stal nierdzewna. Stojaki typowe w </w:t>
      </w:r>
      <w:proofErr w:type="spellStart"/>
      <w:r w:rsidRPr="0002271A">
        <w:rPr>
          <w:rFonts w:ascii="Verdana" w:hAnsi="Verdana"/>
          <w:sz w:val="18"/>
          <w:szCs w:val="18"/>
        </w:rPr>
        <w:t>rowerowni</w:t>
      </w:r>
      <w:proofErr w:type="spellEnd"/>
      <w:r w:rsidRPr="0002271A">
        <w:rPr>
          <w:rFonts w:ascii="Verdana" w:hAnsi="Verdana"/>
          <w:sz w:val="18"/>
          <w:szCs w:val="18"/>
        </w:rPr>
        <w:t xml:space="preserve"> przedstawione na rys. ZA3 - stal ocynkowana.</w:t>
      </w:r>
    </w:p>
    <w:p w14:paraId="0CC519E6" w14:textId="77777777" w:rsidR="00155110" w:rsidRPr="0002271A" w:rsidRDefault="00155110" w:rsidP="00155110">
      <w:pPr>
        <w:rPr>
          <w:rFonts w:ascii="Verdana" w:hAnsi="Verdana"/>
          <w:sz w:val="18"/>
          <w:szCs w:val="18"/>
        </w:rPr>
      </w:pPr>
    </w:p>
    <w:p w14:paraId="5AB93730" w14:textId="2DB5C831" w:rsidR="00BE7BFD" w:rsidRPr="00155110" w:rsidRDefault="00BE7BFD" w:rsidP="00155110"/>
    <w:sectPr w:rsidR="00BE7BFD" w:rsidRPr="001551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0F5BA" w14:textId="77777777" w:rsidR="00CD22F8" w:rsidRDefault="00CD22F8">
      <w:r>
        <w:separator/>
      </w:r>
    </w:p>
  </w:endnote>
  <w:endnote w:type="continuationSeparator" w:id="0">
    <w:p w14:paraId="5C9391AE" w14:textId="77777777" w:rsidR="00CD22F8" w:rsidRDefault="00CD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A1E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7066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F8BBB" w14:textId="77777777" w:rsidR="006D4AB3" w:rsidRDefault="00CD22F8">
    <w:pPr>
      <w:pStyle w:val="Stopka"/>
      <w:tabs>
        <w:tab w:val="clear" w:pos="4536"/>
      </w:tabs>
      <w:jc w:val="center"/>
    </w:pPr>
    <w:r>
      <w:rPr>
        <w:noProof/>
      </w:rPr>
      <w:pict w14:anchorId="0E751CB7">
        <v:line id="_x0000_s1025" style="position:absolute;left:0;text-align:left;z-index:251657728" from="-3.85pt,8.75pt" to="455.15pt,8.75pt"/>
      </w:pict>
    </w:r>
  </w:p>
  <w:p w14:paraId="738057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305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0441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582772" w14:textId="77777777" w:rsidR="006D4AB3" w:rsidRDefault="006D4AB3">
    <w:pPr>
      <w:pStyle w:val="Stopka"/>
      <w:tabs>
        <w:tab w:val="clear" w:pos="4536"/>
        <w:tab w:val="left" w:pos="6237"/>
      </w:tabs>
    </w:pPr>
  </w:p>
  <w:p w14:paraId="55EE10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83DA7" w14:textId="77777777" w:rsidR="00CD22F8" w:rsidRDefault="00CD22F8">
      <w:r>
        <w:separator/>
      </w:r>
    </w:p>
  </w:footnote>
  <w:footnote w:type="continuationSeparator" w:id="0">
    <w:p w14:paraId="0235BF7B" w14:textId="77777777" w:rsidR="00CD22F8" w:rsidRDefault="00CD2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E098" w14:textId="77777777" w:rsidR="00AD3D4E" w:rsidRDefault="00AD3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749CC" w14:textId="77777777" w:rsidR="00AD3D4E" w:rsidRDefault="00AD3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3ED80" w14:textId="77777777" w:rsidR="00AD3D4E" w:rsidRDefault="00AD3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0874109">
    <w:abstractNumId w:val="3"/>
  </w:num>
  <w:num w:numId="2" w16cid:durableId="1490898496">
    <w:abstractNumId w:val="6"/>
  </w:num>
  <w:num w:numId="3" w16cid:durableId="686640048">
    <w:abstractNumId w:val="2"/>
  </w:num>
  <w:num w:numId="4" w16cid:durableId="1748990013">
    <w:abstractNumId w:val="5"/>
  </w:num>
  <w:num w:numId="5" w16cid:durableId="115611417">
    <w:abstractNumId w:val="0"/>
  </w:num>
  <w:num w:numId="6" w16cid:durableId="1393195277">
    <w:abstractNumId w:val="1"/>
  </w:num>
  <w:num w:numId="7" w16cid:durableId="868103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F7D"/>
    <w:rsid w:val="00031374"/>
    <w:rsid w:val="000A1097"/>
    <w:rsid w:val="000E2A8F"/>
    <w:rsid w:val="0012774F"/>
    <w:rsid w:val="00144B7A"/>
    <w:rsid w:val="00155110"/>
    <w:rsid w:val="00180C6E"/>
    <w:rsid w:val="001915F2"/>
    <w:rsid w:val="002174E2"/>
    <w:rsid w:val="0029606A"/>
    <w:rsid w:val="002C6A48"/>
    <w:rsid w:val="00466400"/>
    <w:rsid w:val="004848F3"/>
    <w:rsid w:val="004A75F2"/>
    <w:rsid w:val="004C5F7D"/>
    <w:rsid w:val="005144A9"/>
    <w:rsid w:val="00520165"/>
    <w:rsid w:val="005B1B08"/>
    <w:rsid w:val="005F4932"/>
    <w:rsid w:val="00632C3C"/>
    <w:rsid w:val="00662BDB"/>
    <w:rsid w:val="006A5DF1"/>
    <w:rsid w:val="006B7198"/>
    <w:rsid w:val="006D4AB3"/>
    <w:rsid w:val="006F1520"/>
    <w:rsid w:val="006F3B81"/>
    <w:rsid w:val="00711222"/>
    <w:rsid w:val="007C7B66"/>
    <w:rsid w:val="007D7198"/>
    <w:rsid w:val="00864538"/>
    <w:rsid w:val="00870F9F"/>
    <w:rsid w:val="008804B6"/>
    <w:rsid w:val="00897AB0"/>
    <w:rsid w:val="008A3553"/>
    <w:rsid w:val="009D490F"/>
    <w:rsid w:val="00A905AC"/>
    <w:rsid w:val="00AD3D4E"/>
    <w:rsid w:val="00B127E1"/>
    <w:rsid w:val="00BA6584"/>
    <w:rsid w:val="00BE7BFD"/>
    <w:rsid w:val="00C370F2"/>
    <w:rsid w:val="00C44EEC"/>
    <w:rsid w:val="00CD22F8"/>
    <w:rsid w:val="00D22FFA"/>
    <w:rsid w:val="00D8461B"/>
    <w:rsid w:val="00D915F2"/>
    <w:rsid w:val="00DF32E8"/>
    <w:rsid w:val="00DF53CA"/>
    <w:rsid w:val="00E21B49"/>
    <w:rsid w:val="00E25A6D"/>
    <w:rsid w:val="00E2789F"/>
    <w:rsid w:val="00E45FF9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84840"/>
  <w15:chartTrackingRefBased/>
  <w15:docId w15:val="{8CE93294-CA84-4823-A2E9-24088583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3180</Words>
  <Characters>19081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2026-08-20T06:34:00Z</dcterms:created>
  <dcterms:modified xsi:type="dcterms:W3CDTF">2026-08-20T06:34:00Z</dcterms:modified>
</cp:coreProperties>
</file>