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223E" w:rsidRDefault="0010223E" w:rsidP="0010223E">
      <w:pPr>
        <w:spacing w:after="240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Kraków dnia: 2026-06-02</w:t>
      </w:r>
    </w:p>
    <w:p w:rsidR="0010223E" w:rsidRDefault="0010223E" w:rsidP="0010223E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10223E" w:rsidRDefault="0010223E" w:rsidP="0010223E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10223E" w:rsidRDefault="0010223E" w:rsidP="0010223E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10223E" w:rsidRDefault="0010223E" w:rsidP="001022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Al. Mickiewicza 30</w:t>
      </w:r>
    </w:p>
    <w:p w:rsidR="0010223E" w:rsidRDefault="0010223E" w:rsidP="001022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30-059 Kraków</w:t>
      </w:r>
    </w:p>
    <w:p w:rsidR="0010223E" w:rsidRDefault="0010223E" w:rsidP="0010223E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Pismo: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Cs/>
          <w:sz w:val="18"/>
          <w:szCs w:val="18"/>
        </w:rPr>
        <w:t>KC-DE-zp.25.146.2026</w:t>
      </w:r>
      <w:r>
        <w:rPr>
          <w:rFonts w:ascii="Verdana" w:hAnsi="Verdana"/>
          <w:sz w:val="18"/>
          <w:szCs w:val="18"/>
        </w:rPr>
        <w:tab/>
        <w:t xml:space="preserve"> </w:t>
      </w:r>
    </w:p>
    <w:p w:rsidR="0010223E" w:rsidRDefault="0010223E" w:rsidP="0010223E">
      <w:pPr>
        <w:pStyle w:val="Nagwek"/>
        <w:tabs>
          <w:tab w:val="left" w:pos="708"/>
        </w:tabs>
        <w:rPr>
          <w:rFonts w:ascii="Verdana" w:hAnsi="Verdana"/>
          <w:sz w:val="18"/>
          <w:szCs w:val="18"/>
        </w:rPr>
      </w:pPr>
    </w:p>
    <w:p w:rsidR="0010223E" w:rsidRDefault="0010223E" w:rsidP="0010223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WYKONAWCY</w:t>
      </w:r>
    </w:p>
    <w:p w:rsidR="0010223E" w:rsidRDefault="0010223E" w:rsidP="0010223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ubiegający się o zamówienie publiczne</w:t>
      </w:r>
    </w:p>
    <w:p w:rsidR="0010223E" w:rsidRDefault="0010223E" w:rsidP="0010223E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10223E" w:rsidRDefault="0010223E" w:rsidP="0010223E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WYJAŚNIENIA TREŚCI SWZ</w:t>
      </w:r>
      <w:r w:rsidR="0090198E">
        <w:rPr>
          <w:rFonts w:ascii="Verdana" w:hAnsi="Verdana"/>
          <w:sz w:val="18"/>
          <w:szCs w:val="18"/>
        </w:rPr>
        <w:t xml:space="preserve"> (2) </w:t>
      </w:r>
      <w:r w:rsidR="00BA20AB">
        <w:rPr>
          <w:rFonts w:ascii="Verdana" w:hAnsi="Verdana"/>
          <w:sz w:val="18"/>
          <w:szCs w:val="18"/>
        </w:rPr>
        <w:t>–</w:t>
      </w:r>
      <w:r w:rsidR="0090198E">
        <w:rPr>
          <w:rFonts w:ascii="Verdana" w:hAnsi="Verdana"/>
          <w:sz w:val="18"/>
          <w:szCs w:val="18"/>
        </w:rPr>
        <w:t xml:space="preserve"> ZMIANA</w:t>
      </w:r>
      <w:r w:rsidR="00BA20AB">
        <w:rPr>
          <w:rFonts w:ascii="Verdana" w:hAnsi="Verdana"/>
          <w:sz w:val="18"/>
          <w:szCs w:val="18"/>
        </w:rPr>
        <w:t xml:space="preserve"> SWZ</w:t>
      </w:r>
    </w:p>
    <w:p w:rsidR="0010223E" w:rsidRDefault="0010223E" w:rsidP="0010223E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Dotyczy: postępowania o udzielenie zamówienia publicznego, prowadzonego w trybie: Tryb podstawowy bez negocjacji - art. 275 pkt. 1 ustawy </w:t>
      </w:r>
      <w:proofErr w:type="spellStart"/>
      <w:r>
        <w:rPr>
          <w:rFonts w:ascii="Verdana" w:hAnsi="Verdana"/>
          <w:sz w:val="18"/>
          <w:szCs w:val="18"/>
        </w:rPr>
        <w:t>Pzp</w:t>
      </w:r>
      <w:proofErr w:type="spellEnd"/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Cs/>
          <w:sz w:val="18"/>
          <w:szCs w:val="18"/>
        </w:rPr>
        <w:t>pn.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Cs/>
          <w:sz w:val="18"/>
          <w:szCs w:val="18"/>
        </w:rPr>
        <w:t>”</w:t>
      </w:r>
      <w:r>
        <w:rPr>
          <w:rFonts w:ascii="Verdana" w:hAnsi="Verdana"/>
          <w:b/>
          <w:bCs/>
          <w:sz w:val="18"/>
          <w:szCs w:val="18"/>
        </w:rPr>
        <w:t xml:space="preserve">Remont  wraz z modernizacją </w:t>
      </w:r>
      <w:proofErr w:type="spellStart"/>
      <w:r>
        <w:rPr>
          <w:rFonts w:ascii="Verdana" w:hAnsi="Verdana"/>
          <w:b/>
          <w:bCs/>
          <w:sz w:val="18"/>
          <w:szCs w:val="18"/>
        </w:rPr>
        <w:t>sal</w:t>
      </w:r>
      <w:proofErr w:type="spellEnd"/>
      <w:r>
        <w:rPr>
          <w:rFonts w:ascii="Verdana" w:hAnsi="Verdana"/>
          <w:b/>
          <w:bCs/>
          <w:sz w:val="18"/>
          <w:szCs w:val="18"/>
        </w:rPr>
        <w:t xml:space="preserve"> wykładowych A nr 105 i B nr 104 w pawilonie D-10 na terenie  AGH w Krakowie - KC-DE-zp.25.146.2026</w:t>
      </w:r>
      <w:r>
        <w:rPr>
          <w:rFonts w:ascii="Verdana" w:hAnsi="Verdana"/>
          <w:bCs/>
          <w:sz w:val="18"/>
          <w:szCs w:val="18"/>
        </w:rPr>
        <w:t>”</w:t>
      </w:r>
      <w:r>
        <w:rPr>
          <w:rFonts w:ascii="Verdana" w:hAnsi="Verdana"/>
          <w:b/>
          <w:sz w:val="18"/>
          <w:szCs w:val="18"/>
        </w:rPr>
        <w:t>.</w:t>
      </w:r>
    </w:p>
    <w:p w:rsidR="0010223E" w:rsidRPr="0090198E" w:rsidRDefault="0010223E" w:rsidP="0090198E">
      <w:pPr>
        <w:jc w:val="both"/>
        <w:rPr>
          <w:rFonts w:ascii="Verdana" w:hAnsi="Verdana"/>
          <w:bCs/>
          <w:sz w:val="18"/>
          <w:szCs w:val="18"/>
          <w:lang w:eastAsia="ar-SA"/>
        </w:rPr>
      </w:pPr>
      <w:r w:rsidRPr="0090198E">
        <w:rPr>
          <w:rFonts w:ascii="Verdana" w:hAnsi="Verdana"/>
          <w:sz w:val="18"/>
          <w:szCs w:val="18"/>
        </w:rPr>
        <w:t xml:space="preserve">Zamawiający, działając na podstawie art. 284 ust. 6 ustawy z dnia 11 września 2019 r. Prawo zamówień publicznych (Dz.U.2024.1320 </w:t>
      </w:r>
      <w:proofErr w:type="spellStart"/>
      <w:r w:rsidRPr="0090198E">
        <w:rPr>
          <w:rFonts w:ascii="Verdana" w:hAnsi="Verdana"/>
          <w:sz w:val="18"/>
          <w:szCs w:val="18"/>
        </w:rPr>
        <w:t>t.j</w:t>
      </w:r>
      <w:proofErr w:type="spellEnd"/>
      <w:r w:rsidRPr="0090198E">
        <w:rPr>
          <w:rFonts w:ascii="Verdana" w:hAnsi="Verdana"/>
          <w:sz w:val="18"/>
          <w:szCs w:val="18"/>
        </w:rPr>
        <w:t>. ze zm.) udostępnia poniżej treść zapytań do Specyfikacji Warunków Zamówienia (</w:t>
      </w:r>
      <w:r w:rsidRPr="0090198E">
        <w:rPr>
          <w:rFonts w:ascii="Verdana" w:hAnsi="Verdana"/>
          <w:sz w:val="18"/>
          <w:szCs w:val="18"/>
          <w:lang w:eastAsia="ar-SA"/>
        </w:rPr>
        <w:t>zwanej dalej</w:t>
      </w:r>
      <w:r w:rsidRPr="0090198E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Pr="0090198E">
        <w:rPr>
          <w:rFonts w:ascii="Verdana" w:hAnsi="Verdana"/>
          <w:bCs/>
          <w:sz w:val="18"/>
          <w:szCs w:val="18"/>
          <w:lang w:eastAsia="ar-SA"/>
        </w:rPr>
        <w:t xml:space="preserve">”SWZ”) </w:t>
      </w:r>
      <w:r w:rsidRPr="0090198E">
        <w:rPr>
          <w:rFonts w:ascii="Verdana" w:hAnsi="Verdana"/>
          <w:sz w:val="18"/>
          <w:szCs w:val="18"/>
        </w:rPr>
        <w:t>wraz z wyjaśnieniami</w:t>
      </w:r>
      <w:r w:rsidRPr="0090198E">
        <w:rPr>
          <w:rFonts w:ascii="Verdana" w:hAnsi="Verdana"/>
          <w:bCs/>
          <w:sz w:val="18"/>
          <w:szCs w:val="18"/>
          <w:lang w:eastAsia="ar-SA"/>
        </w:rPr>
        <w:t>:</w:t>
      </w:r>
    </w:p>
    <w:p w:rsidR="0090198E" w:rsidRDefault="0090198E" w:rsidP="0090198E">
      <w:pPr>
        <w:jc w:val="both"/>
        <w:rPr>
          <w:rFonts w:ascii="Verdana" w:hAnsi="Verdana"/>
          <w:sz w:val="18"/>
          <w:szCs w:val="18"/>
        </w:rPr>
      </w:pP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W odpowiedzi na nasze pismo z dnia 06.05.2026 (znak: DIGITEC/186/05/2026), w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którym wnioskowaliśmy o usunięcie z dokumentacji projektowej załącznika nr 1 –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Minimalne parametry urządzeń AV, Zamawiający udostępnił zmodyfikowaną wersję tego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załącznika. Wprowadzone zmiany mają jednak charakter wyłącznie redakcyjny i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kosmetyczny – polegają w istocie na zastąpieniu sformułowania „tego samego producenta co</w:t>
      </w:r>
      <w:r>
        <w:rPr>
          <w:rFonts w:ascii="Verdana" w:hAnsi="Verdana"/>
          <w:sz w:val="18"/>
          <w:szCs w:val="18"/>
        </w:rPr>
        <w:t xml:space="preserve"> p</w:t>
      </w:r>
      <w:r w:rsidRPr="0090198E">
        <w:rPr>
          <w:rFonts w:ascii="Verdana" w:hAnsi="Verdana"/>
          <w:sz w:val="18"/>
          <w:szCs w:val="18"/>
        </w:rPr>
        <w:t>rocesor sterujący" sformułowaniem „kompatybilny z systemem sterującym", przy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jednoczesnym pozostawieniu nietkniętych szczegółowych parametrów technicznych, które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jednoznacznie wskazują na konkretne, jednostkowe modele urządzeń wybranych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producentów.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W niniejszym piśmie przedstawiamy szczegółową, popartą publicznie dostępnymi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kartami katalogowymi analizę dowodzącą, że treść zmodyfikowanego załącznika nr 1 nadal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stanowi opis przedmiotu zamówienia w sposób ograniczający uczciwą konkurencję,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naruszający art. 99 ust. 4 oraz ust. 5 ustawy PZP: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I. Konkretne produkty ukryte w specyfikacji: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a) Wzmacniacz – Martin Audio VIA2004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Karta katalogowa producenta potwierdza dosłowną identyczność parametrów: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moc: 4×500 W przy 4 Ω oraz 4×250 W przy 8 Ω;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THD: „0.003% </w:t>
      </w:r>
      <w:proofErr w:type="spellStart"/>
      <w:r w:rsidRPr="0090198E">
        <w:rPr>
          <w:rFonts w:ascii="Verdana" w:hAnsi="Verdana"/>
          <w:sz w:val="18"/>
          <w:szCs w:val="18"/>
        </w:rPr>
        <w:t>typical</w:t>
      </w:r>
      <w:proofErr w:type="spellEnd"/>
      <w:r w:rsidRPr="0090198E">
        <w:rPr>
          <w:rFonts w:ascii="Verdana" w:hAnsi="Verdana"/>
          <w:sz w:val="18"/>
          <w:szCs w:val="18"/>
        </w:rPr>
        <w:t>, 1 kHz @ 1 W" – wymagane przez SWZ sformułowanie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„THD (dla 1kHz) typowo &lt; 0,003%" jest wprost przeniesione z karty katalogowej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Martin Audio VIA2004;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pasmo przenoszenia: 20 </w:t>
      </w:r>
      <w:proofErr w:type="spellStart"/>
      <w:r w:rsidRPr="0090198E">
        <w:rPr>
          <w:rFonts w:ascii="Verdana" w:hAnsi="Verdana"/>
          <w:sz w:val="18"/>
          <w:szCs w:val="18"/>
        </w:rPr>
        <w:t>Hz</w:t>
      </w:r>
      <w:proofErr w:type="spellEnd"/>
      <w:r w:rsidRPr="0090198E">
        <w:rPr>
          <w:rFonts w:ascii="Verdana" w:hAnsi="Verdana"/>
          <w:sz w:val="18"/>
          <w:szCs w:val="18"/>
        </w:rPr>
        <w:t xml:space="preserve"> – 20 kHz ±0,45 </w:t>
      </w:r>
      <w:proofErr w:type="spellStart"/>
      <w:r w:rsidRPr="0090198E">
        <w:rPr>
          <w:rFonts w:ascii="Verdana" w:hAnsi="Verdana"/>
          <w:sz w:val="18"/>
          <w:szCs w:val="18"/>
        </w:rPr>
        <w:t>dB</w:t>
      </w:r>
      <w:proofErr w:type="spellEnd"/>
      <w:r w:rsidRPr="0090198E">
        <w:rPr>
          <w:rFonts w:ascii="Verdana" w:hAnsi="Verdana"/>
          <w:sz w:val="18"/>
          <w:szCs w:val="18"/>
        </w:rPr>
        <w:t>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wysokość: 2U / 88 mm; waga: 8 kg.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Żaden inny czterokanałowy wzmacniacz dostępny na rynku nie spełnia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jednocześnie wszystkich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czterech wymogów (moc na 4 Ω, moc na 8 Ω, THD,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masa, wysokość).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b) Moduł systemu liniowego – Martin Audio O-Line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Karta katalogowa Martin Audio O-Line wskazuje dosłowną identyczność z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wymogami SWZ: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przetworniki: 2× 3,5" </w:t>
      </w:r>
      <w:proofErr w:type="spellStart"/>
      <w:r w:rsidRPr="0090198E">
        <w:rPr>
          <w:rFonts w:ascii="Verdana" w:hAnsi="Verdana"/>
          <w:sz w:val="18"/>
          <w:szCs w:val="18"/>
        </w:rPr>
        <w:t>niskotonowe</w:t>
      </w:r>
      <w:proofErr w:type="spellEnd"/>
      <w:r w:rsidRPr="0090198E">
        <w:rPr>
          <w:rFonts w:ascii="Verdana" w:hAnsi="Verdana"/>
          <w:sz w:val="18"/>
          <w:szCs w:val="18"/>
        </w:rPr>
        <w:t xml:space="preserve"> + 5× 0,55" </w:t>
      </w:r>
      <w:proofErr w:type="spellStart"/>
      <w:r w:rsidRPr="0090198E">
        <w:rPr>
          <w:rFonts w:ascii="Verdana" w:hAnsi="Verdana"/>
          <w:sz w:val="18"/>
          <w:szCs w:val="18"/>
        </w:rPr>
        <w:t>dome</w:t>
      </w:r>
      <w:proofErr w:type="spellEnd"/>
      <w:r w:rsidRPr="0090198E">
        <w:rPr>
          <w:rFonts w:ascii="Verdana" w:hAnsi="Verdana"/>
          <w:sz w:val="18"/>
          <w:szCs w:val="18"/>
        </w:rPr>
        <w:t xml:space="preserve"> wysokotonowe – jest to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opatentowana,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unikalna konfiguracja Martin Audio, nieoferowana przez żadnego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innego producenta na świecie;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impedancja 16 Ω, moc 50 W AES / 200 W </w:t>
      </w:r>
      <w:proofErr w:type="spellStart"/>
      <w:r w:rsidRPr="0090198E">
        <w:rPr>
          <w:rFonts w:ascii="Verdana" w:hAnsi="Verdana"/>
          <w:sz w:val="18"/>
          <w:szCs w:val="18"/>
        </w:rPr>
        <w:t>peak</w:t>
      </w:r>
      <w:proofErr w:type="spellEnd"/>
      <w:r w:rsidRPr="0090198E">
        <w:rPr>
          <w:rFonts w:ascii="Verdana" w:hAnsi="Verdana"/>
          <w:sz w:val="18"/>
          <w:szCs w:val="18"/>
        </w:rPr>
        <w:t>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max SPL: 104 </w:t>
      </w:r>
      <w:proofErr w:type="spellStart"/>
      <w:r w:rsidRPr="0090198E">
        <w:rPr>
          <w:rFonts w:ascii="Verdana" w:hAnsi="Verdana"/>
          <w:sz w:val="18"/>
          <w:szCs w:val="18"/>
        </w:rPr>
        <w:t>dB</w:t>
      </w:r>
      <w:proofErr w:type="spellEnd"/>
      <w:r w:rsidRPr="0090198E">
        <w:rPr>
          <w:rFonts w:ascii="Verdana" w:hAnsi="Verdana"/>
          <w:sz w:val="18"/>
          <w:szCs w:val="18"/>
        </w:rPr>
        <w:t xml:space="preserve"> (szczyt. 110 </w:t>
      </w:r>
      <w:proofErr w:type="spellStart"/>
      <w:r w:rsidRPr="0090198E">
        <w:rPr>
          <w:rFonts w:ascii="Verdana" w:hAnsi="Verdana"/>
          <w:sz w:val="18"/>
          <w:szCs w:val="18"/>
        </w:rPr>
        <w:t>dB</w:t>
      </w:r>
      <w:proofErr w:type="spellEnd"/>
      <w:r w:rsidRPr="0090198E">
        <w:rPr>
          <w:rFonts w:ascii="Verdana" w:hAnsi="Verdana"/>
          <w:sz w:val="18"/>
          <w:szCs w:val="18"/>
        </w:rPr>
        <w:t>) – wartości identyczne co do decybela z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SWZ;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dyspersja: 100° horyzontalnie, 5° pionowo;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wymiary 246×115×198 mm (SWZ: max 250×120×210 mm); waga 3,6 kg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(SWZ: max 4 kg);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konstrukcja modułowa łączona w grona po 4 moduły – SWZ wprost wymaga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„akcesoriów umożliwiających powieszenie grona złożonego z min. 4 połączonych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modułów".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lastRenderedPageBreak/>
        <w:t>Każdy z powyższych parametrów wskazuje wyłącznie na Martin Audio O-Line. W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szczególności wymóg konfiguracji przetworników „2× 3,5" + 5× 0,5"" w jednym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module nie znajduje odpowiednika u żadnego innego producenta.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c) Zestaw głośnikowy szerokopasmowy – Martin Audio CDD6: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Parametry CDD6 odpowiadają specyfikacji SWZ: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przetworniki: 6,5" LF (koncentryczny) + 1" HF; impedancja 8 Ω;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moc: 150 W AES / 600 W </w:t>
      </w:r>
      <w:proofErr w:type="spellStart"/>
      <w:r w:rsidRPr="0090198E">
        <w:rPr>
          <w:rFonts w:ascii="Verdana" w:hAnsi="Verdana"/>
          <w:sz w:val="18"/>
          <w:szCs w:val="18"/>
        </w:rPr>
        <w:t>peak</w:t>
      </w:r>
      <w:proofErr w:type="spellEnd"/>
      <w:r w:rsidRPr="0090198E">
        <w:rPr>
          <w:rFonts w:ascii="Verdana" w:hAnsi="Verdana"/>
          <w:sz w:val="18"/>
          <w:szCs w:val="18"/>
        </w:rPr>
        <w:t>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max SPL: 113 </w:t>
      </w:r>
      <w:proofErr w:type="spellStart"/>
      <w:r w:rsidRPr="0090198E">
        <w:rPr>
          <w:rFonts w:ascii="Verdana" w:hAnsi="Verdana"/>
          <w:sz w:val="18"/>
          <w:szCs w:val="18"/>
        </w:rPr>
        <w:t>dB</w:t>
      </w:r>
      <w:proofErr w:type="spellEnd"/>
      <w:r w:rsidRPr="0090198E">
        <w:rPr>
          <w:rFonts w:ascii="Verdana" w:hAnsi="Verdana"/>
          <w:sz w:val="18"/>
          <w:szCs w:val="18"/>
        </w:rPr>
        <w:t xml:space="preserve"> / 119 </w:t>
      </w:r>
      <w:proofErr w:type="spellStart"/>
      <w:r w:rsidRPr="0090198E">
        <w:rPr>
          <w:rFonts w:ascii="Verdana" w:hAnsi="Verdana"/>
          <w:sz w:val="18"/>
          <w:szCs w:val="18"/>
        </w:rPr>
        <w:t>dB</w:t>
      </w:r>
      <w:proofErr w:type="spellEnd"/>
      <w:r w:rsidRPr="0090198E">
        <w:rPr>
          <w:rFonts w:ascii="Verdana" w:hAnsi="Verdana"/>
          <w:sz w:val="18"/>
          <w:szCs w:val="18"/>
        </w:rPr>
        <w:t xml:space="preserve"> </w:t>
      </w:r>
      <w:proofErr w:type="spellStart"/>
      <w:r w:rsidRPr="0090198E">
        <w:rPr>
          <w:rFonts w:ascii="Verdana" w:hAnsi="Verdana"/>
          <w:sz w:val="18"/>
          <w:szCs w:val="18"/>
        </w:rPr>
        <w:t>peak</w:t>
      </w:r>
      <w:proofErr w:type="spellEnd"/>
      <w:r w:rsidRPr="0090198E">
        <w:rPr>
          <w:rFonts w:ascii="Verdana" w:hAnsi="Verdana"/>
          <w:sz w:val="18"/>
          <w:szCs w:val="18"/>
        </w:rPr>
        <w:t xml:space="preserve"> (SWZ: 112 </w:t>
      </w:r>
      <w:proofErr w:type="spellStart"/>
      <w:r w:rsidRPr="0090198E">
        <w:rPr>
          <w:rFonts w:ascii="Verdana" w:hAnsi="Verdana"/>
          <w:sz w:val="18"/>
          <w:szCs w:val="18"/>
        </w:rPr>
        <w:t>dB</w:t>
      </w:r>
      <w:proofErr w:type="spellEnd"/>
      <w:r w:rsidRPr="0090198E">
        <w:rPr>
          <w:rFonts w:ascii="Verdana" w:hAnsi="Verdana"/>
          <w:sz w:val="18"/>
          <w:szCs w:val="18"/>
        </w:rPr>
        <w:t xml:space="preserve"> / 118 </w:t>
      </w:r>
      <w:proofErr w:type="spellStart"/>
      <w:r w:rsidRPr="0090198E">
        <w:rPr>
          <w:rFonts w:ascii="Verdana" w:hAnsi="Verdana"/>
          <w:sz w:val="18"/>
          <w:szCs w:val="18"/>
        </w:rPr>
        <w:t>dB</w:t>
      </w:r>
      <w:proofErr w:type="spellEnd"/>
      <w:r w:rsidRPr="0090198E">
        <w:rPr>
          <w:rFonts w:ascii="Verdana" w:hAnsi="Verdana"/>
          <w:sz w:val="18"/>
          <w:szCs w:val="18"/>
        </w:rPr>
        <w:t xml:space="preserve"> </w:t>
      </w:r>
      <w:proofErr w:type="spellStart"/>
      <w:r w:rsidRPr="0090198E">
        <w:rPr>
          <w:rFonts w:ascii="Verdana" w:hAnsi="Verdana"/>
          <w:sz w:val="18"/>
          <w:szCs w:val="18"/>
        </w:rPr>
        <w:t>peak</w:t>
      </w:r>
      <w:proofErr w:type="spellEnd"/>
      <w:r w:rsidRPr="0090198E">
        <w:rPr>
          <w:rFonts w:ascii="Verdana" w:hAnsi="Verdana"/>
          <w:sz w:val="18"/>
          <w:szCs w:val="18"/>
        </w:rPr>
        <w:t>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dyspersja: 110°–80° horyzontalnie, 80° pionowo (SWZ: 100° H, 80° V –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identyczna pionowa);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wymiary: 210×325×210 mm (SWZ: max 340×250×210 mm); waga: 5–5,5 kg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(SWZ: max 6 kg).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Pozostawiony w zmodyfikowanej wersji załącznika nr 1 wymóg „Urządzenie tego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samego producenta co zastosowane zestawy głośnikowe" dla wzmacniacza, w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połączeniu z parametrami opisanymi powyżej, wymusza w praktyce kompletny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zestaw nagłośnieniowy jednego producenta (Martin Audio O-Line + CDD6 +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VIA2004) stanowi klasyczny przykład eliminacji konkurencji, stanowiący wprost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naruszenie art. 99 ust. 4 ustawy o PZP.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d) Konsoleta foniczna – Yamaha DM7 Compact: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Karta katalogowa Yamaha DM7 Compact wskazuje dosłowną identyczność z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parametrami SWZ: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kanały wejściowe: 72 mono (SWZ: min 70);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konfiguracja ekranów: 1× 12,1" + 1× 7" </w:t>
      </w:r>
      <w:proofErr w:type="spellStart"/>
      <w:r w:rsidRPr="0090198E">
        <w:rPr>
          <w:rFonts w:ascii="Verdana" w:hAnsi="Verdana"/>
          <w:sz w:val="18"/>
          <w:szCs w:val="18"/>
        </w:rPr>
        <w:t>multi-touch</w:t>
      </w:r>
      <w:proofErr w:type="spellEnd"/>
      <w:r w:rsidRPr="0090198E">
        <w:rPr>
          <w:rFonts w:ascii="Verdana" w:hAnsi="Verdana"/>
          <w:sz w:val="18"/>
          <w:szCs w:val="18"/>
        </w:rPr>
        <w:t xml:space="preserve"> – jest to konfiguracja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występująca w tej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dokładnej formie wyłącznie w modelu DM7 Compact,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identyczna z literalnym wymogiem SWZ („min 2 ekrany dotykowe w tym 1× 12" i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1× 7");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suwaki: 12 + 4 = 16 </w:t>
      </w:r>
      <w:proofErr w:type="spellStart"/>
      <w:r w:rsidRPr="0090198E">
        <w:rPr>
          <w:rFonts w:ascii="Verdana" w:hAnsi="Verdana"/>
          <w:sz w:val="18"/>
          <w:szCs w:val="18"/>
        </w:rPr>
        <w:t>motorized</w:t>
      </w:r>
      <w:proofErr w:type="spellEnd"/>
      <w:r w:rsidRPr="0090198E">
        <w:rPr>
          <w:rFonts w:ascii="Verdana" w:hAnsi="Verdana"/>
          <w:sz w:val="18"/>
          <w:szCs w:val="18"/>
        </w:rPr>
        <w:t xml:space="preserve"> (SWZ: min 16 – dokładnie ta liczba);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wejścia/wyjścia analogowe: 16×16 (SWZ: 16×16);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Dante: 144×144 (SWZ: min 128×128);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USB audio: 18×18 (SWZ: 16×16).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Wszystkie konkurencyjne konsolety w tej klasie cenowej i funkcjonalnej (m.in.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Allen &amp; Heath SQ-6 oraz SQ-7, </w:t>
      </w:r>
      <w:proofErr w:type="spellStart"/>
      <w:r w:rsidRPr="0090198E">
        <w:rPr>
          <w:rFonts w:ascii="Verdana" w:hAnsi="Verdana"/>
          <w:sz w:val="18"/>
          <w:szCs w:val="18"/>
        </w:rPr>
        <w:t>DiGiCo</w:t>
      </w:r>
      <w:proofErr w:type="spellEnd"/>
      <w:r w:rsidRPr="0090198E">
        <w:rPr>
          <w:rFonts w:ascii="Verdana" w:hAnsi="Verdana"/>
          <w:sz w:val="18"/>
          <w:szCs w:val="18"/>
        </w:rPr>
        <w:t xml:space="preserve"> S21, </w:t>
      </w:r>
      <w:proofErr w:type="spellStart"/>
      <w:r w:rsidRPr="0090198E">
        <w:rPr>
          <w:rFonts w:ascii="Verdana" w:hAnsi="Verdana"/>
          <w:sz w:val="18"/>
          <w:szCs w:val="18"/>
        </w:rPr>
        <w:t>Soundcraft</w:t>
      </w:r>
      <w:proofErr w:type="spellEnd"/>
      <w:r w:rsidRPr="0090198E">
        <w:rPr>
          <w:rFonts w:ascii="Verdana" w:hAnsi="Verdana"/>
          <w:sz w:val="18"/>
          <w:szCs w:val="18"/>
        </w:rPr>
        <w:t xml:space="preserve"> Si </w:t>
      </w:r>
      <w:proofErr w:type="spellStart"/>
      <w:r w:rsidRPr="0090198E">
        <w:rPr>
          <w:rFonts w:ascii="Verdana" w:hAnsi="Verdana"/>
          <w:sz w:val="18"/>
          <w:szCs w:val="18"/>
        </w:rPr>
        <w:t>Impact</w:t>
      </w:r>
      <w:proofErr w:type="spellEnd"/>
      <w:r w:rsidRPr="0090198E">
        <w:rPr>
          <w:rFonts w:ascii="Verdana" w:hAnsi="Verdana"/>
          <w:sz w:val="18"/>
          <w:szCs w:val="18"/>
        </w:rPr>
        <w:t xml:space="preserve">, </w:t>
      </w:r>
      <w:proofErr w:type="spellStart"/>
      <w:r w:rsidRPr="0090198E">
        <w:rPr>
          <w:rFonts w:ascii="Verdana" w:hAnsi="Verdana"/>
          <w:sz w:val="18"/>
          <w:szCs w:val="18"/>
        </w:rPr>
        <w:t>PreSonus</w:t>
      </w:r>
      <w:proofErr w:type="spellEnd"/>
      <w:r>
        <w:rPr>
          <w:rFonts w:ascii="Verdana" w:hAnsi="Verdana"/>
          <w:sz w:val="18"/>
          <w:szCs w:val="18"/>
        </w:rPr>
        <w:t xml:space="preserve"> </w:t>
      </w:r>
      <w:proofErr w:type="spellStart"/>
      <w:r w:rsidRPr="0090198E">
        <w:rPr>
          <w:rFonts w:ascii="Verdana" w:hAnsi="Verdana"/>
          <w:sz w:val="18"/>
          <w:szCs w:val="18"/>
        </w:rPr>
        <w:t>StudioLive</w:t>
      </w:r>
      <w:proofErr w:type="spellEnd"/>
      <w:r w:rsidRPr="0090198E">
        <w:rPr>
          <w:rFonts w:ascii="Verdana" w:hAnsi="Verdana"/>
          <w:sz w:val="18"/>
          <w:szCs w:val="18"/>
        </w:rPr>
        <w:t xml:space="preserve"> 32SC) mają tylko jeden ekran dotykowy 7" lub odmienne konfiguracje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(np. 9"+5", 15"+7") – żadna z nich nie ma jednocześnie ekranu 12" i 7" ani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dokładnie 16 suwaków.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e) Kamera PTZ – Panasonic AW-UE40 lub AW-UE50: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Specyfikacja SWZ odpowiada w całości kartom katalogowym Panasonic AW-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UE40/UE50: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zoom 24× F1.8–F4.0, ogniskowa f=4,12–98,9 mm (SWZ: 24× F1.8–F4.0,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f=4,2–98,5 mm –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dosłowne przeniesienie);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kąt widzenia poziomy: 74,1° (</w:t>
      </w:r>
      <w:proofErr w:type="spellStart"/>
      <w:r w:rsidRPr="0090198E">
        <w:rPr>
          <w:rFonts w:ascii="Verdana" w:hAnsi="Verdana"/>
          <w:sz w:val="18"/>
          <w:szCs w:val="18"/>
        </w:rPr>
        <w:t>wide</w:t>
      </w:r>
      <w:proofErr w:type="spellEnd"/>
      <w:r w:rsidRPr="0090198E">
        <w:rPr>
          <w:rFonts w:ascii="Verdana" w:hAnsi="Verdana"/>
          <w:sz w:val="18"/>
          <w:szCs w:val="18"/>
        </w:rPr>
        <w:t>) do 3,3° (</w:t>
      </w:r>
      <w:proofErr w:type="spellStart"/>
      <w:r w:rsidRPr="0090198E">
        <w:rPr>
          <w:rFonts w:ascii="Verdana" w:hAnsi="Verdana"/>
          <w:sz w:val="18"/>
          <w:szCs w:val="18"/>
        </w:rPr>
        <w:t>tele</w:t>
      </w:r>
      <w:proofErr w:type="spellEnd"/>
      <w:r w:rsidRPr="0090198E">
        <w:rPr>
          <w:rFonts w:ascii="Verdana" w:hAnsi="Verdana"/>
          <w:sz w:val="18"/>
          <w:szCs w:val="18"/>
        </w:rPr>
        <w:t>) – wartości identyczne;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minimalne oświetlenie 3 lx (przy F1.8) – wartość identyczna;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rozdzielczość pozioma: UHD 1500 TVL / FHD 1000 TVL – wartości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identyczne;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zakres panoramowania ±175°, prędkość 0,08°–60°/s – wartości identyczne;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waga: 1,8 kg bez uchwytu (SWZ: max 1,8 kg – do grama identycznie);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wymiary: 160,0×192,1×166,0 mm (SWZ: max 161×193×167 mm – idealne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dopasowanie);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zasilanie </w:t>
      </w:r>
      <w:proofErr w:type="spellStart"/>
      <w:r w:rsidRPr="0090198E">
        <w:rPr>
          <w:rFonts w:ascii="Verdana" w:hAnsi="Verdana"/>
          <w:sz w:val="18"/>
          <w:szCs w:val="18"/>
        </w:rPr>
        <w:t>PoE</w:t>
      </w:r>
      <w:proofErr w:type="spellEnd"/>
      <w:r w:rsidRPr="0090198E">
        <w:rPr>
          <w:rFonts w:ascii="Verdana" w:hAnsi="Verdana"/>
          <w:sz w:val="18"/>
          <w:szCs w:val="18"/>
        </w:rPr>
        <w:t>+ / DC 12V; wyjście wideo HDMI 4:2:2/10 bit, LAN, USB 2.0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typu C.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Żadne konkurencyjne kamery nie spełniają specyfikacji.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f) Procesor sterujący AV –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CP4 / CP4N: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Kombinacja parametrów SWZ jednoznacznie wskazuje na procesor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CP4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(lub jego wersję sieciową CP4N):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pamięć: 2 GB SDRAM + 8 GB Flash – wartości dosłownie identyczne z kartą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katalogową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CP4;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obsługa </w:t>
      </w:r>
      <w:proofErr w:type="spellStart"/>
      <w:r w:rsidRPr="0090198E">
        <w:rPr>
          <w:rFonts w:ascii="Verdana" w:hAnsi="Verdana"/>
          <w:sz w:val="18"/>
          <w:szCs w:val="18"/>
        </w:rPr>
        <w:t>BACnet</w:t>
      </w:r>
      <w:proofErr w:type="spellEnd"/>
      <w:r w:rsidRPr="0090198E">
        <w:rPr>
          <w:rFonts w:ascii="Verdana" w:hAnsi="Verdana"/>
          <w:sz w:val="18"/>
          <w:szCs w:val="18"/>
        </w:rPr>
        <w:t>/IP, IPv6, 802.1X, Active Directory;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porty: 3× RS-232 (w tym 1 z RS-485), 8× IR do 1,2 MHz, 8× I/O 245 </w:t>
      </w:r>
      <w:proofErr w:type="spellStart"/>
      <w:r w:rsidRPr="0090198E">
        <w:rPr>
          <w:rFonts w:ascii="Verdana" w:hAnsi="Verdana"/>
          <w:sz w:val="18"/>
          <w:szCs w:val="18"/>
        </w:rPr>
        <w:t>mA</w:t>
      </w:r>
      <w:proofErr w:type="spellEnd"/>
      <w:r w:rsidRPr="0090198E">
        <w:rPr>
          <w:rFonts w:ascii="Verdana" w:hAnsi="Verdana"/>
          <w:sz w:val="18"/>
          <w:szCs w:val="18"/>
        </w:rPr>
        <w:t xml:space="preserve"> @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24 VDC, 8× RELAY NO – unikalna konfiguracja portów charakterystyczna dla</w:t>
      </w:r>
      <w:r>
        <w:rPr>
          <w:rFonts w:ascii="Verdana" w:hAnsi="Verdana"/>
          <w:sz w:val="18"/>
          <w:szCs w:val="18"/>
        </w:rPr>
        <w:t xml:space="preserve">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CP4;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zasilanie 2,5 A @ 24 VDC z zewnętrznego zasilacza;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max 52 BTU/</w:t>
      </w:r>
      <w:proofErr w:type="spellStart"/>
      <w:r w:rsidRPr="0090198E">
        <w:rPr>
          <w:rFonts w:ascii="Verdana" w:hAnsi="Verdana"/>
          <w:sz w:val="18"/>
          <w:szCs w:val="18"/>
        </w:rPr>
        <w:t>hr</w:t>
      </w:r>
      <w:proofErr w:type="spellEnd"/>
      <w:r w:rsidRPr="0090198E">
        <w:rPr>
          <w:rFonts w:ascii="Verdana" w:hAnsi="Verdana"/>
          <w:sz w:val="18"/>
          <w:szCs w:val="18"/>
        </w:rPr>
        <w:t xml:space="preserve"> rozpraszania ciepła.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Konkurencyjne procesory sterujące mają inne konfiguracje portów (np. inną liczbę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IR, brak portów REL NO, inne wartości pamięci). Żadne konkurencyjne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rozwiązania nie spełniają specyfikacji.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g) Nadajnik </w:t>
      </w:r>
      <w:proofErr w:type="spellStart"/>
      <w:r w:rsidRPr="0090198E">
        <w:rPr>
          <w:rFonts w:ascii="Verdana" w:hAnsi="Verdana"/>
          <w:sz w:val="18"/>
          <w:szCs w:val="18"/>
        </w:rPr>
        <w:t>AVoIP</w:t>
      </w:r>
      <w:proofErr w:type="spellEnd"/>
      <w:r w:rsidRPr="0090198E">
        <w:rPr>
          <w:rFonts w:ascii="Verdana" w:hAnsi="Verdana"/>
          <w:sz w:val="18"/>
          <w:szCs w:val="18"/>
        </w:rPr>
        <w:t xml:space="preserve"> typ 1, Odbiornik </w:t>
      </w:r>
      <w:proofErr w:type="spellStart"/>
      <w:r w:rsidRPr="0090198E">
        <w:rPr>
          <w:rFonts w:ascii="Verdana" w:hAnsi="Verdana"/>
          <w:sz w:val="18"/>
          <w:szCs w:val="18"/>
        </w:rPr>
        <w:t>AVoIP</w:t>
      </w:r>
      <w:proofErr w:type="spellEnd"/>
      <w:r w:rsidRPr="0090198E">
        <w:rPr>
          <w:rFonts w:ascii="Verdana" w:hAnsi="Verdana"/>
          <w:sz w:val="18"/>
          <w:szCs w:val="18"/>
        </w:rPr>
        <w:t xml:space="preserve"> typ 1, Nadajnik/Odbiornik typ 2 –</w:t>
      </w:r>
      <w:r>
        <w:rPr>
          <w:rFonts w:ascii="Verdana" w:hAnsi="Verdana"/>
          <w:sz w:val="18"/>
          <w:szCs w:val="18"/>
        </w:rPr>
        <w:t xml:space="preserve">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DM NVX (nowsza generacja):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Kombinacja parametrów: transmisja 5120×1440 (5K Super-</w:t>
      </w:r>
      <w:proofErr w:type="spellStart"/>
      <w:r w:rsidRPr="0090198E">
        <w:rPr>
          <w:rFonts w:ascii="Verdana" w:hAnsi="Verdana"/>
          <w:sz w:val="18"/>
          <w:szCs w:val="18"/>
        </w:rPr>
        <w:t>Wide</w:t>
      </w:r>
      <w:proofErr w:type="spellEnd"/>
      <w:r w:rsidRPr="0090198E">
        <w:rPr>
          <w:rFonts w:ascii="Verdana" w:hAnsi="Verdana"/>
          <w:sz w:val="18"/>
          <w:szCs w:val="18"/>
        </w:rPr>
        <w:t>) 4:4:4 8 bit, 2×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HDMI in + 2× USB-C + 1× wyjście HDMI + 1× SFP, HDCP 2.3, AES-128, PKI,</w:t>
      </w:r>
      <w:r>
        <w:rPr>
          <w:rFonts w:ascii="Verdana" w:hAnsi="Verdana"/>
          <w:sz w:val="18"/>
          <w:szCs w:val="18"/>
        </w:rPr>
        <w:t xml:space="preserve"> </w:t>
      </w:r>
      <w:proofErr w:type="spellStart"/>
      <w:r w:rsidRPr="0090198E">
        <w:rPr>
          <w:rFonts w:ascii="Verdana" w:hAnsi="Verdana"/>
          <w:sz w:val="18"/>
          <w:szCs w:val="18"/>
        </w:rPr>
        <w:t>PoE</w:t>
      </w:r>
      <w:proofErr w:type="spellEnd"/>
      <w:r w:rsidRPr="0090198E">
        <w:rPr>
          <w:rFonts w:ascii="Verdana" w:hAnsi="Verdana"/>
          <w:sz w:val="18"/>
          <w:szCs w:val="18"/>
        </w:rPr>
        <w:t>++ IEEE 802.3bt – jest charakterystyczna wyłącznie dla nowszych modeli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platformy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DM NVX. Konkurencyjne systemy </w:t>
      </w:r>
      <w:proofErr w:type="spellStart"/>
      <w:r w:rsidRPr="0090198E">
        <w:rPr>
          <w:rFonts w:ascii="Verdana" w:hAnsi="Verdana"/>
          <w:sz w:val="18"/>
          <w:szCs w:val="18"/>
        </w:rPr>
        <w:t>AVoIP</w:t>
      </w:r>
      <w:proofErr w:type="spellEnd"/>
      <w:r w:rsidRPr="0090198E">
        <w:rPr>
          <w:rFonts w:ascii="Verdana" w:hAnsi="Verdana"/>
          <w:sz w:val="18"/>
          <w:szCs w:val="18"/>
        </w:rPr>
        <w:t xml:space="preserve"> nie oferują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urządzenia o równocześnie wszystkich wymienionych cechach. Ponadto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pozostawiony w zmodyfikowanej wersji wymóg „Wkładki SFP muszą być tego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samego producenta co </w:t>
      </w:r>
      <w:proofErr w:type="spellStart"/>
      <w:r w:rsidRPr="0090198E">
        <w:rPr>
          <w:rFonts w:ascii="Verdana" w:hAnsi="Verdana"/>
          <w:sz w:val="18"/>
          <w:szCs w:val="18"/>
        </w:rPr>
        <w:t>switch</w:t>
      </w:r>
      <w:proofErr w:type="spellEnd"/>
      <w:r w:rsidRPr="0090198E">
        <w:rPr>
          <w:rFonts w:ascii="Verdana" w:hAnsi="Verdana"/>
          <w:sz w:val="18"/>
          <w:szCs w:val="18"/>
        </w:rPr>
        <w:t xml:space="preserve">" dla obu typów </w:t>
      </w:r>
      <w:proofErr w:type="spellStart"/>
      <w:r w:rsidRPr="0090198E">
        <w:rPr>
          <w:rFonts w:ascii="Verdana" w:hAnsi="Verdana"/>
          <w:sz w:val="18"/>
          <w:szCs w:val="18"/>
        </w:rPr>
        <w:t>switchy</w:t>
      </w:r>
      <w:proofErr w:type="spellEnd"/>
      <w:r w:rsidRPr="0090198E">
        <w:rPr>
          <w:rFonts w:ascii="Verdana" w:hAnsi="Verdana"/>
          <w:sz w:val="18"/>
          <w:szCs w:val="18"/>
        </w:rPr>
        <w:t xml:space="preserve"> LAN oraz „Moduł tego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samego producenta co nadajnik/odbiornik </w:t>
      </w:r>
      <w:proofErr w:type="spellStart"/>
      <w:r w:rsidRPr="0090198E">
        <w:rPr>
          <w:rFonts w:ascii="Verdana" w:hAnsi="Verdana"/>
          <w:sz w:val="18"/>
          <w:szCs w:val="18"/>
        </w:rPr>
        <w:t>AVoIP</w:t>
      </w:r>
      <w:proofErr w:type="spellEnd"/>
      <w:r w:rsidRPr="0090198E">
        <w:rPr>
          <w:rFonts w:ascii="Verdana" w:hAnsi="Verdana"/>
          <w:sz w:val="18"/>
          <w:szCs w:val="18"/>
        </w:rPr>
        <w:t>" dla modułów światłowodowych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dodatkowo zawęża krąg możliwych dostawców.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h) Procesor sterujący oświetlenie –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DIN-AP4: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lastRenderedPageBreak/>
        <w:t xml:space="preserve">Kombinacja parametrów SWZ wskazuje wprost na procesor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DIN-AP4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(4-Series, montaż na szynie DIN):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pamięć: 1 GB SDRAM (DDR3) + 8 GB Flash – wartości dosłownie identyczne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z kartą katalogową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DIN-AP4;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obsługa min. 9 programów jednocześnie –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DIN-AP4 obsługuje do 10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programów równolegle;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obsługa </w:t>
      </w:r>
      <w:proofErr w:type="spellStart"/>
      <w:r w:rsidRPr="0090198E">
        <w:rPr>
          <w:rFonts w:ascii="Verdana" w:hAnsi="Verdana"/>
          <w:sz w:val="18"/>
          <w:szCs w:val="18"/>
        </w:rPr>
        <w:t>BACnet</w:t>
      </w:r>
      <w:proofErr w:type="spellEnd"/>
      <w:r w:rsidRPr="0090198E">
        <w:rPr>
          <w:rFonts w:ascii="Verdana" w:hAnsi="Verdana"/>
          <w:sz w:val="18"/>
          <w:szCs w:val="18"/>
        </w:rPr>
        <w:t>/IP oraz IPv6 – wprost wymienione w karcie katalogowej</w:t>
      </w:r>
      <w:r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DIN-AP4;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zasilanie: zewnętrzny zasilacz lub </w:t>
      </w:r>
      <w:proofErr w:type="spellStart"/>
      <w:r w:rsidRPr="0090198E">
        <w:rPr>
          <w:rFonts w:ascii="Verdana" w:hAnsi="Verdana"/>
          <w:sz w:val="18"/>
          <w:szCs w:val="18"/>
        </w:rPr>
        <w:t>PoE</w:t>
      </w:r>
      <w:proofErr w:type="spellEnd"/>
      <w:r w:rsidRPr="0090198E">
        <w:rPr>
          <w:rFonts w:ascii="Verdana" w:hAnsi="Verdana"/>
          <w:sz w:val="18"/>
          <w:szCs w:val="18"/>
        </w:rPr>
        <w:t xml:space="preserve"> –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DIN-AP4: „Powered via 24</w:t>
      </w:r>
      <w:r w:rsidR="00DC0F16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VDC </w:t>
      </w:r>
      <w:proofErr w:type="spellStart"/>
      <w:r w:rsidRPr="0090198E">
        <w:rPr>
          <w:rFonts w:ascii="Verdana" w:hAnsi="Verdana"/>
          <w:sz w:val="18"/>
          <w:szCs w:val="18"/>
        </w:rPr>
        <w:t>power</w:t>
      </w:r>
      <w:proofErr w:type="spellEnd"/>
      <w:r w:rsidRPr="0090198E">
        <w:rPr>
          <w:rFonts w:ascii="Verdana" w:hAnsi="Verdana"/>
          <w:sz w:val="18"/>
          <w:szCs w:val="18"/>
        </w:rPr>
        <w:t xml:space="preserve"> </w:t>
      </w:r>
      <w:proofErr w:type="spellStart"/>
      <w:r w:rsidRPr="0090198E">
        <w:rPr>
          <w:rFonts w:ascii="Verdana" w:hAnsi="Verdana"/>
          <w:sz w:val="18"/>
          <w:szCs w:val="18"/>
        </w:rPr>
        <w:t>pack</w:t>
      </w:r>
      <w:proofErr w:type="spellEnd"/>
      <w:r w:rsidRPr="0090198E">
        <w:rPr>
          <w:rFonts w:ascii="Verdana" w:hAnsi="Verdana"/>
          <w:sz w:val="18"/>
          <w:szCs w:val="18"/>
        </w:rPr>
        <w:t xml:space="preserve"> </w:t>
      </w:r>
      <w:proofErr w:type="spellStart"/>
      <w:r w:rsidRPr="0090198E">
        <w:rPr>
          <w:rFonts w:ascii="Verdana" w:hAnsi="Verdana"/>
          <w:sz w:val="18"/>
          <w:szCs w:val="18"/>
        </w:rPr>
        <w:t>or</w:t>
      </w:r>
      <w:proofErr w:type="spellEnd"/>
      <w:r w:rsidRPr="0090198E">
        <w:rPr>
          <w:rFonts w:ascii="Verdana" w:hAnsi="Verdana"/>
          <w:sz w:val="18"/>
          <w:szCs w:val="18"/>
        </w:rPr>
        <w:t xml:space="preserve"> </w:t>
      </w:r>
      <w:proofErr w:type="spellStart"/>
      <w:r w:rsidRPr="0090198E">
        <w:rPr>
          <w:rFonts w:ascii="Verdana" w:hAnsi="Verdana"/>
          <w:sz w:val="18"/>
          <w:szCs w:val="18"/>
        </w:rPr>
        <w:t>PoE</w:t>
      </w:r>
      <w:proofErr w:type="spellEnd"/>
      <w:r w:rsidRPr="0090198E">
        <w:rPr>
          <w:rFonts w:ascii="Verdana" w:hAnsi="Verdana"/>
          <w:sz w:val="18"/>
          <w:szCs w:val="18"/>
        </w:rPr>
        <w:t xml:space="preserve"> (Power </w:t>
      </w:r>
      <w:proofErr w:type="spellStart"/>
      <w:r w:rsidRPr="0090198E">
        <w:rPr>
          <w:rFonts w:ascii="Verdana" w:hAnsi="Verdana"/>
          <w:sz w:val="18"/>
          <w:szCs w:val="18"/>
        </w:rPr>
        <w:t>over</w:t>
      </w:r>
      <w:proofErr w:type="spellEnd"/>
      <w:r w:rsidRPr="0090198E">
        <w:rPr>
          <w:rFonts w:ascii="Verdana" w:hAnsi="Verdana"/>
          <w:sz w:val="18"/>
          <w:szCs w:val="18"/>
        </w:rPr>
        <w:t xml:space="preserve"> Ethernet)";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montaż na szynie DIN –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DIN-AP4 jest urządzeniem dedykowanym</w:t>
      </w:r>
      <w:r w:rsidR="00DC0F16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do montażu na szynie DIN (9M </w:t>
      </w:r>
      <w:proofErr w:type="spellStart"/>
      <w:r w:rsidRPr="0090198E">
        <w:rPr>
          <w:rFonts w:ascii="Verdana" w:hAnsi="Verdana"/>
          <w:sz w:val="18"/>
          <w:szCs w:val="18"/>
        </w:rPr>
        <w:t>wide</w:t>
      </w:r>
      <w:proofErr w:type="spellEnd"/>
      <w:r w:rsidRPr="0090198E">
        <w:rPr>
          <w:rFonts w:ascii="Verdana" w:hAnsi="Verdana"/>
          <w:sz w:val="18"/>
          <w:szCs w:val="18"/>
        </w:rPr>
        <w:t xml:space="preserve"> DIN </w:t>
      </w:r>
      <w:proofErr w:type="spellStart"/>
      <w:r w:rsidRPr="0090198E">
        <w:rPr>
          <w:rFonts w:ascii="Verdana" w:hAnsi="Verdana"/>
          <w:sz w:val="18"/>
          <w:szCs w:val="18"/>
        </w:rPr>
        <w:t>rail</w:t>
      </w:r>
      <w:proofErr w:type="spellEnd"/>
      <w:r w:rsidRPr="0090198E">
        <w:rPr>
          <w:rFonts w:ascii="Verdana" w:hAnsi="Verdana"/>
          <w:sz w:val="18"/>
          <w:szCs w:val="18"/>
        </w:rPr>
        <w:t xml:space="preserve"> </w:t>
      </w:r>
      <w:proofErr w:type="spellStart"/>
      <w:r w:rsidRPr="0090198E">
        <w:rPr>
          <w:rFonts w:ascii="Verdana" w:hAnsi="Verdana"/>
          <w:sz w:val="18"/>
          <w:szCs w:val="18"/>
        </w:rPr>
        <w:t>mountable</w:t>
      </w:r>
      <w:proofErr w:type="spellEnd"/>
      <w:r w:rsidRPr="0090198E">
        <w:rPr>
          <w:rFonts w:ascii="Verdana" w:hAnsi="Verdana"/>
          <w:sz w:val="18"/>
          <w:szCs w:val="18"/>
        </w:rPr>
        <w:t>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rozpraszanie ciepła max 35 BTU/</w:t>
      </w:r>
      <w:proofErr w:type="spellStart"/>
      <w:r w:rsidRPr="0090198E">
        <w:rPr>
          <w:rFonts w:ascii="Verdana" w:hAnsi="Verdana"/>
          <w:sz w:val="18"/>
          <w:szCs w:val="18"/>
        </w:rPr>
        <w:t>hr</w:t>
      </w:r>
      <w:proofErr w:type="spellEnd"/>
      <w:r w:rsidRPr="0090198E">
        <w:rPr>
          <w:rFonts w:ascii="Verdana" w:hAnsi="Verdana"/>
          <w:sz w:val="18"/>
          <w:szCs w:val="18"/>
        </w:rPr>
        <w:t xml:space="preserve"> –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DIN-AP4: 33 BTU/hr.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Wszystkie powyższe parametry są zbieżne co do każdego elementu z kartą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katalogową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DIN-AP4. Razem z wymogiem „Procesor w pełni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kompatybilny z modułami sterującymi oświetleniem (będącymi na wyposażeniu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auli)" stanowi to jednoznaczne wskazanie producenta.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Jednocześnie Zamawiający zignorował wniosek Wykonawcy o dodanie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następującej treści do pkt 3.14 – Instalacja AV, podpunkt „System Sterowania”: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„W przypadku zaproponowania systemu sterowania innego producenta,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Wykonawca będzie zobowiązany do dostarczenia systemu sterowania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kompatybilnego z elementami wykonawczymi oświetlenia oraz zainstalowanymi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klawiaturami sterującymi lub wymiany elementów wykonawczych oświetlenia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oraz klawiatur sterujących na nowe elementy, kompatybilne z systemem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sterowania.”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i) Panel sterujący stołowy –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TS-1070 / TSW-1070: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Karta katalogowa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TS-1070 (wersja </w:t>
      </w:r>
      <w:proofErr w:type="spellStart"/>
      <w:r w:rsidRPr="0090198E">
        <w:rPr>
          <w:rFonts w:ascii="Verdana" w:hAnsi="Verdana"/>
          <w:sz w:val="18"/>
          <w:szCs w:val="18"/>
        </w:rPr>
        <w:t>tabletop</w:t>
      </w:r>
      <w:proofErr w:type="spellEnd"/>
      <w:r w:rsidRPr="0090198E">
        <w:rPr>
          <w:rFonts w:ascii="Verdana" w:hAnsi="Verdana"/>
          <w:sz w:val="18"/>
          <w:szCs w:val="18"/>
        </w:rPr>
        <w:t>) oraz TSW-1070 (wersja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ścienna) wskazuje dosłowną identyczność parametrów z SWZ: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rozmiar ekranu 10,1" (SWZ: min 10");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rozdzielczość 1920×1200 WUXGA, format 16:10 (SWZ: dosłownie „16:10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WUXGA, 1920x1200");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ekran pojemnościowy z </w:t>
      </w:r>
      <w:proofErr w:type="spellStart"/>
      <w:r w:rsidRPr="0090198E">
        <w:rPr>
          <w:rFonts w:ascii="Verdana" w:hAnsi="Verdana"/>
          <w:sz w:val="18"/>
          <w:szCs w:val="18"/>
        </w:rPr>
        <w:t>multitouch</w:t>
      </w:r>
      <w:proofErr w:type="spellEnd"/>
      <w:r w:rsidRPr="0090198E">
        <w:rPr>
          <w:rFonts w:ascii="Verdana" w:hAnsi="Verdana"/>
          <w:sz w:val="18"/>
          <w:szCs w:val="18"/>
        </w:rPr>
        <w:t>, aktywna matryca TFT (SWZ: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identycznie);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obsługa strumieniowego wideo H.265, H.264, MJPEG (SWZ: identycznie);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łączność Wi-Fi, wbudowane głośniki i mikrofon (SWZ: identycznie);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zasilanie </w:t>
      </w:r>
      <w:proofErr w:type="spellStart"/>
      <w:r w:rsidRPr="0090198E">
        <w:rPr>
          <w:rFonts w:ascii="Verdana" w:hAnsi="Verdana"/>
          <w:sz w:val="18"/>
          <w:szCs w:val="18"/>
        </w:rPr>
        <w:t>PoE</w:t>
      </w:r>
      <w:proofErr w:type="spellEnd"/>
      <w:r w:rsidRPr="0090198E">
        <w:rPr>
          <w:rFonts w:ascii="Verdana" w:hAnsi="Verdana"/>
          <w:sz w:val="18"/>
          <w:szCs w:val="18"/>
        </w:rPr>
        <w:t xml:space="preserve"> / </w:t>
      </w:r>
      <w:proofErr w:type="spellStart"/>
      <w:r w:rsidRPr="0090198E">
        <w:rPr>
          <w:rFonts w:ascii="Verdana" w:hAnsi="Verdana"/>
          <w:sz w:val="18"/>
          <w:szCs w:val="18"/>
        </w:rPr>
        <w:t>PoE</w:t>
      </w:r>
      <w:proofErr w:type="spellEnd"/>
      <w:r w:rsidRPr="0090198E">
        <w:rPr>
          <w:rFonts w:ascii="Verdana" w:hAnsi="Verdana"/>
          <w:sz w:val="18"/>
          <w:szCs w:val="18"/>
        </w:rPr>
        <w:t xml:space="preserve">+ (SWZ: </w:t>
      </w:r>
      <w:proofErr w:type="spellStart"/>
      <w:r w:rsidRPr="0090198E">
        <w:rPr>
          <w:rFonts w:ascii="Verdana" w:hAnsi="Verdana"/>
          <w:sz w:val="18"/>
          <w:szCs w:val="18"/>
        </w:rPr>
        <w:t>PoE</w:t>
      </w:r>
      <w:proofErr w:type="spellEnd"/>
      <w:r w:rsidRPr="0090198E">
        <w:rPr>
          <w:rFonts w:ascii="Verdana" w:hAnsi="Verdana"/>
          <w:sz w:val="18"/>
          <w:szCs w:val="18"/>
        </w:rPr>
        <w:t>).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Parametry pamięci RAM (min 2 GB LPDDR3) oraz pamięci </w:t>
      </w:r>
      <w:proofErr w:type="spellStart"/>
      <w:r w:rsidRPr="0090198E">
        <w:rPr>
          <w:rFonts w:ascii="Verdana" w:hAnsi="Verdana"/>
          <w:sz w:val="18"/>
          <w:szCs w:val="18"/>
        </w:rPr>
        <w:t>eMMC</w:t>
      </w:r>
      <w:proofErr w:type="spellEnd"/>
      <w:r w:rsidRPr="0090198E">
        <w:rPr>
          <w:rFonts w:ascii="Verdana" w:hAnsi="Verdana"/>
          <w:sz w:val="18"/>
          <w:szCs w:val="18"/>
        </w:rPr>
        <w:t xml:space="preserve"> </w:t>
      </w:r>
      <w:proofErr w:type="spellStart"/>
      <w:r w:rsidRPr="0090198E">
        <w:rPr>
          <w:rFonts w:ascii="Verdana" w:hAnsi="Verdana"/>
          <w:sz w:val="18"/>
          <w:szCs w:val="18"/>
        </w:rPr>
        <w:t>pSLC</w:t>
      </w:r>
      <w:proofErr w:type="spellEnd"/>
      <w:r w:rsidRPr="0090198E">
        <w:rPr>
          <w:rFonts w:ascii="Verdana" w:hAnsi="Verdana"/>
          <w:sz w:val="18"/>
          <w:szCs w:val="18"/>
        </w:rPr>
        <w:t xml:space="preserve"> (min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16 GB) wymienione w SWZ są charakterystyczne dla wewnętrznej specyfikacji</w:t>
      </w:r>
      <w:r w:rsidR="00360DAA">
        <w:rPr>
          <w:rFonts w:ascii="Verdana" w:hAnsi="Verdana"/>
          <w:sz w:val="18"/>
          <w:szCs w:val="18"/>
        </w:rPr>
        <w:t xml:space="preserve">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TS/TSW-1070.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j) Panel sterujący mobilny (tablet) – Apple iPad 10,2":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Specyfikacja SWZ wskazuje wprost na tablet Apple iPad 10,2" (7., 8. lub 9.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generacji):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rozdzielczość ekranu min 2160×1620 – jest to rozdzielczość </w:t>
      </w:r>
      <w:proofErr w:type="spellStart"/>
      <w:r w:rsidRPr="0090198E">
        <w:rPr>
          <w:rFonts w:ascii="Verdana" w:hAnsi="Verdana"/>
          <w:sz w:val="18"/>
          <w:szCs w:val="18"/>
        </w:rPr>
        <w:t>Retina</w:t>
      </w:r>
      <w:proofErr w:type="spellEnd"/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występująca wyłącznie w modelu iPad 10,2" (7., 8., 9. gen.); konkurencyjne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tablety 10" (Samsung Galaxy </w:t>
      </w:r>
      <w:proofErr w:type="spellStart"/>
      <w:r w:rsidRPr="0090198E">
        <w:rPr>
          <w:rFonts w:ascii="Verdana" w:hAnsi="Verdana"/>
          <w:sz w:val="18"/>
          <w:szCs w:val="18"/>
        </w:rPr>
        <w:t>Tab</w:t>
      </w:r>
      <w:proofErr w:type="spellEnd"/>
      <w:r w:rsidRPr="0090198E">
        <w:rPr>
          <w:rFonts w:ascii="Verdana" w:hAnsi="Verdana"/>
          <w:sz w:val="18"/>
          <w:szCs w:val="18"/>
        </w:rPr>
        <w:t xml:space="preserve"> A8 – 1920×1200, Galaxy </w:t>
      </w:r>
      <w:proofErr w:type="spellStart"/>
      <w:r w:rsidRPr="0090198E">
        <w:rPr>
          <w:rFonts w:ascii="Verdana" w:hAnsi="Verdana"/>
          <w:sz w:val="18"/>
          <w:szCs w:val="18"/>
        </w:rPr>
        <w:t>Tab</w:t>
      </w:r>
      <w:proofErr w:type="spellEnd"/>
      <w:r w:rsidRPr="0090198E">
        <w:rPr>
          <w:rFonts w:ascii="Verdana" w:hAnsi="Verdana"/>
          <w:sz w:val="18"/>
          <w:szCs w:val="18"/>
        </w:rPr>
        <w:t xml:space="preserve"> S6 Lite –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2000×1200, Lenovo </w:t>
      </w:r>
      <w:proofErr w:type="spellStart"/>
      <w:r w:rsidRPr="0090198E">
        <w:rPr>
          <w:rFonts w:ascii="Verdana" w:hAnsi="Verdana"/>
          <w:sz w:val="18"/>
          <w:szCs w:val="18"/>
        </w:rPr>
        <w:t>Tab</w:t>
      </w:r>
      <w:proofErr w:type="spellEnd"/>
      <w:r w:rsidRPr="0090198E">
        <w:rPr>
          <w:rFonts w:ascii="Verdana" w:hAnsi="Verdana"/>
          <w:sz w:val="18"/>
          <w:szCs w:val="18"/>
        </w:rPr>
        <w:t xml:space="preserve"> M10 – 1920×1200) nie spełniają tej rozdzielczości;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• czytnik linii papilarnych – w iPadzie 10,2" jest to </w:t>
      </w:r>
      <w:proofErr w:type="spellStart"/>
      <w:r w:rsidRPr="0090198E">
        <w:rPr>
          <w:rFonts w:ascii="Verdana" w:hAnsi="Verdana"/>
          <w:sz w:val="18"/>
          <w:szCs w:val="18"/>
        </w:rPr>
        <w:t>Touch</w:t>
      </w:r>
      <w:proofErr w:type="spellEnd"/>
      <w:r w:rsidRPr="0090198E">
        <w:rPr>
          <w:rFonts w:ascii="Verdana" w:hAnsi="Verdana"/>
          <w:sz w:val="18"/>
          <w:szCs w:val="18"/>
        </w:rPr>
        <w:t xml:space="preserve"> ID, charakterystyczne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rozwiązanie Apple;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przekątna ekranu min 10" – iPad 10,2" ma 10,2";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pamięć wbudowana min 62 GB – iPad 10,2" jest dostępny w wariantach 64 GB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(spełnia 62 GB) lub 256 GB;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typ ekranu IPS, jasność min 400 nitów, łączność Wi-Fi oraz Bluetooth min 4.2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– wszystkie zgodne ze specyfikacją iPada.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Wskazany w SWZ wymóg dostarczenia „kompatybilnej licencji systemu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sterowania" wraz z tabletem oraz pozostawiony wymóg kompatybilności z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procesorem sterującym (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>) wymusza w praktyce dostarczenie iPada wraz z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licencją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</w:t>
      </w:r>
      <w:proofErr w:type="spellStart"/>
      <w:r w:rsidRPr="0090198E">
        <w:rPr>
          <w:rFonts w:ascii="Verdana" w:hAnsi="Verdana"/>
          <w:sz w:val="18"/>
          <w:szCs w:val="18"/>
        </w:rPr>
        <w:t>App</w:t>
      </w:r>
      <w:proofErr w:type="spellEnd"/>
      <w:r w:rsidRPr="0090198E">
        <w:rPr>
          <w:rFonts w:ascii="Verdana" w:hAnsi="Verdana"/>
          <w:sz w:val="18"/>
          <w:szCs w:val="18"/>
        </w:rPr>
        <w:t>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k) Odbiornik poczwórny DANTE – </w:t>
      </w:r>
      <w:proofErr w:type="spellStart"/>
      <w:r w:rsidRPr="0090198E">
        <w:rPr>
          <w:rFonts w:ascii="Verdana" w:hAnsi="Verdana"/>
          <w:sz w:val="18"/>
          <w:szCs w:val="18"/>
        </w:rPr>
        <w:t>Sennheiser</w:t>
      </w:r>
      <w:proofErr w:type="spellEnd"/>
      <w:r w:rsidRPr="0090198E">
        <w:rPr>
          <w:rFonts w:ascii="Verdana" w:hAnsi="Verdana"/>
          <w:sz w:val="18"/>
          <w:szCs w:val="18"/>
        </w:rPr>
        <w:t xml:space="preserve"> EW-DX EM 4 DANTE: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Wpisane w SWZ parametry poniższe parametry spełnia tylko jedno urządzenie: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liczba kanałów min 90 w jednym zakresie przestrajania (SWZ: min 90;</w:t>
      </w:r>
      <w:r w:rsidR="00360DAA">
        <w:rPr>
          <w:rFonts w:ascii="Verdana" w:hAnsi="Verdana"/>
          <w:sz w:val="18"/>
          <w:szCs w:val="18"/>
        </w:rPr>
        <w:t xml:space="preserve"> </w:t>
      </w:r>
      <w:proofErr w:type="spellStart"/>
      <w:r w:rsidRPr="0090198E">
        <w:rPr>
          <w:rFonts w:ascii="Verdana" w:hAnsi="Verdana"/>
          <w:sz w:val="18"/>
          <w:szCs w:val="18"/>
        </w:rPr>
        <w:t>Sennheiser</w:t>
      </w:r>
      <w:proofErr w:type="spellEnd"/>
      <w:r w:rsidRPr="0090198E">
        <w:rPr>
          <w:rFonts w:ascii="Verdana" w:hAnsi="Verdana"/>
          <w:sz w:val="18"/>
          <w:szCs w:val="18"/>
        </w:rPr>
        <w:t xml:space="preserve"> EW-DX EM 4 DANTE: do 293 kanałów);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zakres przestrajania &gt;75 MHz (</w:t>
      </w:r>
      <w:proofErr w:type="spellStart"/>
      <w:r w:rsidRPr="0090198E">
        <w:rPr>
          <w:rFonts w:ascii="Verdana" w:hAnsi="Verdana"/>
          <w:sz w:val="18"/>
          <w:szCs w:val="18"/>
        </w:rPr>
        <w:t>Sennheiser</w:t>
      </w:r>
      <w:proofErr w:type="spellEnd"/>
      <w:r w:rsidRPr="0090198E">
        <w:rPr>
          <w:rFonts w:ascii="Verdana" w:hAnsi="Verdana"/>
          <w:sz w:val="18"/>
          <w:szCs w:val="18"/>
        </w:rPr>
        <w:t xml:space="preserve"> EW-DX EM 4 DANTE: 88 MHz –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odpowiada wymogowi);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szyfrowanie AES-256 (identycznie);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cyfrowe wyjścia Dante 48/96 kHz, 24-bit oraz analogowe XLR-3M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symetryczne (identycznie);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system odbioru dwu-antenowy różnicowy, BNC 50 Ω, 2 wejścia + 2 wyjścia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kaskadowe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(identycznie);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obudowa metalowa montowana w panelu 1U, 19" (identycznie);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• port Ethernet do zdalnego sterowania (</w:t>
      </w:r>
      <w:proofErr w:type="spellStart"/>
      <w:r w:rsidRPr="0090198E">
        <w:rPr>
          <w:rFonts w:ascii="Verdana" w:hAnsi="Verdana"/>
          <w:sz w:val="18"/>
          <w:szCs w:val="18"/>
        </w:rPr>
        <w:t>Sennheiser</w:t>
      </w:r>
      <w:proofErr w:type="spellEnd"/>
      <w:r w:rsidRPr="0090198E">
        <w:rPr>
          <w:rFonts w:ascii="Verdana" w:hAnsi="Verdana"/>
          <w:sz w:val="18"/>
          <w:szCs w:val="18"/>
        </w:rPr>
        <w:t>: 4 modularne porty sieciowe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Dante </w:t>
      </w:r>
      <w:proofErr w:type="spellStart"/>
      <w:r w:rsidRPr="0090198E">
        <w:rPr>
          <w:rFonts w:ascii="Verdana" w:hAnsi="Verdana"/>
          <w:sz w:val="18"/>
          <w:szCs w:val="18"/>
        </w:rPr>
        <w:t>Prim</w:t>
      </w:r>
      <w:proofErr w:type="spellEnd"/>
      <w:r w:rsidRPr="0090198E">
        <w:rPr>
          <w:rFonts w:ascii="Verdana" w:hAnsi="Verdana"/>
          <w:sz w:val="18"/>
          <w:szCs w:val="18"/>
        </w:rPr>
        <w:t>/Sec/Control).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II. Blokada rozwiązań innych producentów przy pomocy specyfikacji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technicznych w zmodyfikowanym załączniku: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Zmodyfikowana wersja załącznika nr 1, mimo zastąpienia sformułowania „tego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samego producenta" sformułowaniem „kompatybilny z systemem sterującym", nadal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narzuca pięć </w:t>
      </w:r>
      <w:r w:rsidRPr="0090198E">
        <w:rPr>
          <w:rFonts w:ascii="Verdana" w:hAnsi="Verdana"/>
          <w:sz w:val="18"/>
          <w:szCs w:val="18"/>
        </w:rPr>
        <w:lastRenderedPageBreak/>
        <w:t>odrębnych, dających się jednoznacznie zidentyfikować grup urządzeń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dla, których wymogi spełniają urządzenia tylko jednego producenta: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a) System nagłośnienia – Martin Audio: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Moduły O-Line + zestaw szerokopasmowy CDD6 + wzmacniacz VIA2004 –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domknięty pozostawioną w zmodyfikowanej wersji klauzulą „wzmacniacz tego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samego producenta co głośniki"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b) Konsola foniczna – Yamaha: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Konsoleta DM7 Compact jako jedyny model na rynku spełniający łącznie wymóg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„1× 12" + 1× 7" + 16 suwaków + 16×16 analog + min 128×128 Dante".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c) Kamera PTZ – Panasonic: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Kamery Panasonic AW-UE40 lub AW-UE50 jako jedyne kamery PTZ na rynku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spełniające jednocześnie wszystkie wymogi dotyczące optyki, wymiarów i wagi.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d) Sterowanie AV + sterowanie oświetleniem + </w:t>
      </w:r>
      <w:proofErr w:type="spellStart"/>
      <w:r w:rsidRPr="0090198E">
        <w:rPr>
          <w:rFonts w:ascii="Verdana" w:hAnsi="Verdana"/>
          <w:sz w:val="18"/>
          <w:szCs w:val="18"/>
        </w:rPr>
        <w:t>AVoIP</w:t>
      </w:r>
      <w:proofErr w:type="spellEnd"/>
      <w:r w:rsidRPr="0090198E">
        <w:rPr>
          <w:rFonts w:ascii="Verdana" w:hAnsi="Verdana"/>
          <w:sz w:val="18"/>
          <w:szCs w:val="18"/>
        </w:rPr>
        <w:t xml:space="preserve"> + panele –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>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Procesor sterujący AV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CP4/CP4N + procesor sterujący oświetleniem</w:t>
      </w:r>
      <w:r w:rsidR="00360DAA">
        <w:rPr>
          <w:rFonts w:ascii="Verdana" w:hAnsi="Verdana"/>
          <w:sz w:val="18"/>
          <w:szCs w:val="18"/>
        </w:rPr>
        <w:t xml:space="preserve">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DIN-AP4 + nadajniki/odbiorniki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DM NVX + panel sterujący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stołowy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TS-1070/TSW-1070 + panel mobilny Apple iPad 10,2" z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licencją 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</w:t>
      </w:r>
      <w:proofErr w:type="spellStart"/>
      <w:r w:rsidRPr="0090198E">
        <w:rPr>
          <w:rFonts w:ascii="Verdana" w:hAnsi="Verdana"/>
          <w:sz w:val="18"/>
          <w:szCs w:val="18"/>
        </w:rPr>
        <w:t>App</w:t>
      </w:r>
      <w:proofErr w:type="spellEnd"/>
      <w:r w:rsidRPr="0090198E">
        <w:rPr>
          <w:rFonts w:ascii="Verdana" w:hAnsi="Verdana"/>
          <w:sz w:val="18"/>
          <w:szCs w:val="18"/>
        </w:rPr>
        <w:t>. Co istotne, doprecyzowany w zmodyfikowanej wersji zapis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„procesor w pełni kompatybilny z modułami sterującymi oświetleniem (będącymi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na wyposażeniu auli)" jest potencjalnie BARDZIEJ restrykcyjny niż wersja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pierwotna, ponieważ: (i) Zamawiający nie ujawnia, jakie konkretnie moduły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sterujące oświetleniem zainstalowane są w aulach, (ii) sformułowanie „w pełni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kompatybilny" przy zamkniętych protokołach producenta (</w:t>
      </w:r>
      <w:proofErr w:type="spellStart"/>
      <w:r w:rsidRPr="0090198E">
        <w:rPr>
          <w:rFonts w:ascii="Verdana" w:hAnsi="Verdana"/>
          <w:sz w:val="18"/>
          <w:szCs w:val="18"/>
        </w:rPr>
        <w:t>Crestron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</w:t>
      </w:r>
      <w:proofErr w:type="spellStart"/>
      <w:r w:rsidRPr="0090198E">
        <w:rPr>
          <w:rFonts w:ascii="Verdana" w:hAnsi="Verdana"/>
          <w:sz w:val="18"/>
          <w:szCs w:val="18"/>
        </w:rPr>
        <w:t>Cresnet</w:t>
      </w:r>
      <w:proofErr w:type="spellEnd"/>
      <w:r w:rsidRPr="0090198E">
        <w:rPr>
          <w:rFonts w:ascii="Verdana" w:hAnsi="Verdana"/>
          <w:sz w:val="18"/>
          <w:szCs w:val="18"/>
        </w:rPr>
        <w:t>, AMX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ICSP, </w:t>
      </w:r>
      <w:proofErr w:type="spellStart"/>
      <w:r w:rsidRPr="0090198E">
        <w:rPr>
          <w:rFonts w:ascii="Verdana" w:hAnsi="Verdana"/>
          <w:sz w:val="18"/>
          <w:szCs w:val="18"/>
        </w:rPr>
        <w:t>Lutron</w:t>
      </w:r>
      <w:proofErr w:type="spellEnd"/>
      <w:r w:rsidRPr="0090198E">
        <w:rPr>
          <w:rFonts w:ascii="Verdana" w:hAnsi="Verdana"/>
          <w:sz w:val="18"/>
          <w:szCs w:val="18"/>
        </w:rPr>
        <w:t xml:space="preserve"> LEAP) oznacza w praktyce tylko procesor tego samego producenta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co istniejące moduły, (iii) wykonawca, który nie zna z góry producenta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istniejących modułów, nie jest w stanie poprawnie wycenić oferty.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 xml:space="preserve">e) System mikrofonów bezprzewodowych – </w:t>
      </w:r>
      <w:proofErr w:type="spellStart"/>
      <w:r w:rsidRPr="0090198E">
        <w:rPr>
          <w:rFonts w:ascii="Verdana" w:hAnsi="Verdana"/>
          <w:sz w:val="18"/>
          <w:szCs w:val="18"/>
        </w:rPr>
        <w:t>Sennheiser</w:t>
      </w:r>
      <w:proofErr w:type="spellEnd"/>
      <w:r w:rsidRPr="0090198E">
        <w:rPr>
          <w:rFonts w:ascii="Verdana" w:hAnsi="Verdana"/>
          <w:sz w:val="18"/>
          <w:szCs w:val="18"/>
        </w:rPr>
        <w:t>: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odbiornik poczwórny EW-DX EM 4 DANTE + powiązane nadajniki ręczne i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miniaturowe EW-DX SKM/SK + kapsuły mikrofonowe + akumulatory i</w:t>
      </w:r>
      <w:r w:rsidR="00360DAA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ładowarka sieciowa. Pozostawiona w zmodyfikowanej wersji klauzula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„częstotliwości transmisyjne zgodne z odbiornikiem" i „automatyczna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synchronizacja z odbiornikiem" przy parametrach nadajników (&gt;75 MHz, AES-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256, ≥10 </w:t>
      </w:r>
      <w:proofErr w:type="spellStart"/>
      <w:r w:rsidRPr="0090198E">
        <w:rPr>
          <w:rFonts w:ascii="Verdana" w:hAnsi="Verdana"/>
          <w:sz w:val="18"/>
          <w:szCs w:val="18"/>
        </w:rPr>
        <w:t>mW</w:t>
      </w:r>
      <w:proofErr w:type="spellEnd"/>
      <w:r w:rsidRPr="0090198E">
        <w:rPr>
          <w:rFonts w:ascii="Verdana" w:hAnsi="Verdana"/>
          <w:sz w:val="18"/>
          <w:szCs w:val="18"/>
        </w:rPr>
        <w:t>, wymiary maks. 80×65×20 mm dla nadajnika miniaturowego)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wymusza zakup wszystkich elementów tego samego producenta.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Powyższe ustalenia w naszej ocenie jednoznacznie dowodzą, że Zamawiający nie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wprowadził żadnej zmiany merytorycznie otwierającej rynek dla wykonawców oferujących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rozwiązania innych producentów. Zmiana sformułowań z „tego samego producenta" na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„kompatybilny" przy jednoczesnym pozostawieniu parametrów technicznych skopiowanych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1:1 z kart katalogowych konkretnych modeli, stanowi pozorne dostosowanie się do żądania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usunięcia naruszenia, w istocie utrwalające ograniczenie konkurencji.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Zgodnie z utrwaloną linią orzecznictwa Krajowej Izby Odwoławczej, w szczególności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w wyroku KIO 759/23 z dnia 31 marca 2023 roku oraz wyroku KIO 1415/22 z dnia 10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czerwca 2022 roku (cytowanych szczegółowo w naszym piśmie z dnia 06.05.2026),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Zamawiający opisujący przedmiot zamówienia w sposób eliminujący funkcjonujące na rynku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rozwiązania „musi być w stanie przedstawić racjonalne i przekonujące wyjaśnienia takiego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działania". W naszej ocenie żaden z parametrów wskazanych w pkt I niniejszego pisma (np.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THD wzmacniacza &lt; 0,003%, konfiguracja przetworników 2× 3,5" + 5× 0,5" w module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liniowym, dokładnie 1× 12" + 1× 7" ekrany konsolety, sensor 1/2.3" w połączeniu z 24-krotnym zoomem F1.8 w kamerze PTZ) nie znajduje uzasadnienia w obiektywnych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potrzebach Zamawiającego dla zastosowania w salach wykładowych.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W niniejszym piśmie: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1. Podtrzymujemy wniosek o usunięcie z dokumentacji projektowej w całości załącznika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nr 1 – Minimalne parametry urządzeń AV, zgodnie z wnioskiem zawartym w naszym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piśmie z dnia 06.05.2026.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2. Podtrzymujemy wniosek o dodanie do pkt 3.14 – Instalacja AV, podpunkt „System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Sterowania", treści wnioskowanej w naszym piśmie z dnia 06.05.2026.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W przypadku braku zgody na wnioski z pkt 1 i 2 powyżej, wnioskujemy o:</w:t>
      </w:r>
    </w:p>
    <w:p w:rsidR="0090198E" w:rsidRP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a) wskazanie co najmniej dwóch konkretnych modeli urządzeń (z podaniem nazwy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producenta i numeru katalogowego) spełniających WSZYSTKIE wymagania zawarte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w zmodyfikowanym załączniku nr 1 dla każdej z 32 kategorii opisanych urządzeń – ze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szczególnym uwzględnieniem pozycji wymienionych w pkt I niniejszego pisma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(wzmacniacz, moduł systemu liniowego, zestaw głośnikowy szerokopasmowy,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 xml:space="preserve">konsoleta foniczna, kamera PTZ, procesor sterujący AV, nadajnik </w:t>
      </w:r>
      <w:proofErr w:type="spellStart"/>
      <w:r w:rsidRPr="0090198E">
        <w:rPr>
          <w:rFonts w:ascii="Verdana" w:hAnsi="Verdana"/>
          <w:sz w:val="18"/>
          <w:szCs w:val="18"/>
        </w:rPr>
        <w:t>AVoIP</w:t>
      </w:r>
      <w:proofErr w:type="spellEnd"/>
      <w:r w:rsidRPr="0090198E">
        <w:rPr>
          <w:rFonts w:ascii="Verdana" w:hAnsi="Verdana"/>
          <w:sz w:val="18"/>
          <w:szCs w:val="18"/>
        </w:rPr>
        <w:t xml:space="preserve"> typ 1,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procesor sterujący oświetlenie, panel sterujący stołowy, panel sterujący mobilny –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tablet, oraz odbiornik poczwórny DANTE);</w:t>
      </w:r>
    </w:p>
    <w:p w:rsidR="0090198E" w:rsidRDefault="0090198E" w:rsidP="0090198E">
      <w:pPr>
        <w:jc w:val="both"/>
        <w:rPr>
          <w:rFonts w:ascii="Verdana" w:hAnsi="Verdana"/>
          <w:sz w:val="18"/>
          <w:szCs w:val="18"/>
        </w:rPr>
      </w:pPr>
      <w:r w:rsidRPr="0090198E">
        <w:rPr>
          <w:rFonts w:ascii="Verdana" w:hAnsi="Verdana"/>
          <w:sz w:val="18"/>
          <w:szCs w:val="18"/>
        </w:rPr>
        <w:t>b) merytoryczne uzasadnienie obiektywnymi potrzebami Zamawiającego każdego z</w:t>
      </w:r>
      <w:r w:rsidR="00752732">
        <w:rPr>
          <w:rFonts w:ascii="Verdana" w:hAnsi="Verdana"/>
          <w:sz w:val="18"/>
          <w:szCs w:val="18"/>
        </w:rPr>
        <w:t xml:space="preserve"> </w:t>
      </w:r>
      <w:r w:rsidRPr="0090198E">
        <w:rPr>
          <w:rFonts w:ascii="Verdana" w:hAnsi="Verdana"/>
          <w:sz w:val="18"/>
          <w:szCs w:val="18"/>
        </w:rPr>
        <w:t>parametrów urządzeń wskazanych pkt I niniejszego pisma.</w:t>
      </w:r>
    </w:p>
    <w:p w:rsidR="00752732" w:rsidRDefault="00752732" w:rsidP="00752732">
      <w:pPr>
        <w:jc w:val="both"/>
        <w:rPr>
          <w:rFonts w:ascii="Verdana" w:hAnsi="Verdana"/>
          <w:sz w:val="18"/>
          <w:szCs w:val="18"/>
        </w:rPr>
      </w:pPr>
    </w:p>
    <w:p w:rsidR="00752732" w:rsidRPr="00752732" w:rsidRDefault="00752732" w:rsidP="00752732">
      <w:pPr>
        <w:jc w:val="both"/>
        <w:rPr>
          <w:rFonts w:ascii="Verdana" w:hAnsi="Verdana"/>
          <w:b/>
          <w:sz w:val="18"/>
          <w:szCs w:val="18"/>
        </w:rPr>
      </w:pPr>
      <w:r w:rsidRPr="00752732">
        <w:rPr>
          <w:rFonts w:ascii="Verdana" w:hAnsi="Verdana"/>
          <w:b/>
          <w:sz w:val="18"/>
          <w:szCs w:val="18"/>
        </w:rPr>
        <w:t>Odpowiedź Zamawiającego</w:t>
      </w:r>
    </w:p>
    <w:p w:rsidR="00752732" w:rsidRPr="00752732" w:rsidRDefault="00752732" w:rsidP="00752732">
      <w:pPr>
        <w:jc w:val="both"/>
        <w:rPr>
          <w:rFonts w:ascii="Verdana" w:hAnsi="Verdana"/>
          <w:b/>
          <w:sz w:val="18"/>
          <w:szCs w:val="18"/>
        </w:rPr>
      </w:pPr>
      <w:r w:rsidRPr="00752732">
        <w:rPr>
          <w:rFonts w:ascii="Verdana" w:hAnsi="Verdana"/>
          <w:b/>
          <w:sz w:val="18"/>
          <w:szCs w:val="18"/>
        </w:rPr>
        <w:t>Zamawiający wskazuje, że dokumentacja postępowania, w tym załącznik nr 1 –</w:t>
      </w:r>
      <w:r>
        <w:rPr>
          <w:rFonts w:ascii="Verdana" w:hAnsi="Verdana"/>
          <w:b/>
          <w:sz w:val="18"/>
          <w:szCs w:val="18"/>
        </w:rPr>
        <w:t xml:space="preserve"> </w:t>
      </w:r>
      <w:r w:rsidRPr="00752732">
        <w:rPr>
          <w:rFonts w:ascii="Verdana" w:hAnsi="Verdana"/>
          <w:b/>
          <w:sz w:val="18"/>
          <w:szCs w:val="18"/>
        </w:rPr>
        <w:t xml:space="preserve">Minimalne parametry urządzeń AV, została opracowana w oparciu o rzeczywiste, obiektywnie uzasadnione potrzeby Zamawiającego, wynikające zarówno ze specyfiki </w:t>
      </w:r>
      <w:r w:rsidRPr="00752732">
        <w:rPr>
          <w:rFonts w:ascii="Verdana" w:hAnsi="Verdana"/>
          <w:b/>
          <w:sz w:val="18"/>
          <w:szCs w:val="18"/>
        </w:rPr>
        <w:lastRenderedPageBreak/>
        <w:t xml:space="preserve">użytkowej projektowanych </w:t>
      </w:r>
      <w:proofErr w:type="spellStart"/>
      <w:r w:rsidRPr="00752732">
        <w:rPr>
          <w:rFonts w:ascii="Verdana" w:hAnsi="Verdana"/>
          <w:b/>
          <w:sz w:val="18"/>
          <w:szCs w:val="18"/>
        </w:rPr>
        <w:t>sal</w:t>
      </w:r>
      <w:proofErr w:type="spellEnd"/>
      <w:r w:rsidRPr="00752732">
        <w:rPr>
          <w:rFonts w:ascii="Verdana" w:hAnsi="Verdana"/>
          <w:b/>
          <w:sz w:val="18"/>
          <w:szCs w:val="18"/>
        </w:rPr>
        <w:t xml:space="preserve"> wykładowych, jak i z konieczności zachowania kompatybilności z istniejącą infrastrukturą techniczną Zamawiającego.</w:t>
      </w:r>
    </w:p>
    <w:p w:rsidR="00752732" w:rsidRPr="00752732" w:rsidRDefault="00752732" w:rsidP="00752732">
      <w:pPr>
        <w:jc w:val="both"/>
        <w:rPr>
          <w:rFonts w:ascii="Verdana" w:hAnsi="Verdana"/>
          <w:b/>
          <w:sz w:val="18"/>
          <w:szCs w:val="18"/>
        </w:rPr>
      </w:pPr>
      <w:r w:rsidRPr="00752732">
        <w:rPr>
          <w:rFonts w:ascii="Verdana" w:hAnsi="Verdana"/>
          <w:b/>
          <w:sz w:val="18"/>
          <w:szCs w:val="18"/>
        </w:rPr>
        <w:t>Określone w dokumentacji parametry techniczne i funkcjonalne urządzeń stanowią minimalne wymagania, których spełnienie jest niezbędne dla zapewnienia:</w:t>
      </w:r>
    </w:p>
    <w:p w:rsidR="00752732" w:rsidRPr="00752732" w:rsidRDefault="00752732" w:rsidP="00752732">
      <w:pPr>
        <w:jc w:val="both"/>
        <w:rPr>
          <w:rFonts w:ascii="Verdana" w:hAnsi="Verdana"/>
          <w:b/>
          <w:sz w:val="18"/>
          <w:szCs w:val="18"/>
        </w:rPr>
      </w:pPr>
      <w:r w:rsidRPr="00752732">
        <w:rPr>
          <w:rFonts w:ascii="Verdana" w:hAnsi="Verdana"/>
          <w:b/>
          <w:sz w:val="18"/>
          <w:szCs w:val="18"/>
        </w:rPr>
        <w:t>−</w:t>
      </w:r>
      <w:r w:rsidRPr="00752732">
        <w:rPr>
          <w:rFonts w:ascii="Verdana" w:hAnsi="Verdana"/>
          <w:b/>
          <w:sz w:val="18"/>
          <w:szCs w:val="18"/>
        </w:rPr>
        <w:tab/>
        <w:t>prawidłowej realizacji funkcji dydaktycznych i prezentacyjnych,</w:t>
      </w:r>
    </w:p>
    <w:p w:rsidR="00752732" w:rsidRPr="00752732" w:rsidRDefault="00752732" w:rsidP="00752732">
      <w:pPr>
        <w:jc w:val="both"/>
        <w:rPr>
          <w:rFonts w:ascii="Verdana" w:hAnsi="Verdana"/>
          <w:b/>
          <w:sz w:val="18"/>
          <w:szCs w:val="18"/>
        </w:rPr>
      </w:pPr>
      <w:r w:rsidRPr="00752732">
        <w:rPr>
          <w:rFonts w:ascii="Verdana" w:hAnsi="Verdana"/>
          <w:b/>
          <w:sz w:val="18"/>
          <w:szCs w:val="18"/>
        </w:rPr>
        <w:t>−</w:t>
      </w:r>
      <w:r w:rsidRPr="00752732">
        <w:rPr>
          <w:rFonts w:ascii="Verdana" w:hAnsi="Verdana"/>
          <w:b/>
          <w:sz w:val="18"/>
          <w:szCs w:val="18"/>
        </w:rPr>
        <w:tab/>
        <w:t>odpowiedniej jakości obrazu i dźwięku,</w:t>
      </w:r>
    </w:p>
    <w:p w:rsidR="00752732" w:rsidRPr="00752732" w:rsidRDefault="00752732" w:rsidP="00752732">
      <w:pPr>
        <w:jc w:val="both"/>
        <w:rPr>
          <w:rFonts w:ascii="Verdana" w:hAnsi="Verdana"/>
          <w:b/>
          <w:sz w:val="18"/>
          <w:szCs w:val="18"/>
        </w:rPr>
      </w:pPr>
      <w:r w:rsidRPr="00752732">
        <w:rPr>
          <w:rFonts w:ascii="Verdana" w:hAnsi="Verdana"/>
          <w:b/>
          <w:sz w:val="18"/>
          <w:szCs w:val="18"/>
        </w:rPr>
        <w:t>−</w:t>
      </w:r>
      <w:r w:rsidRPr="00752732">
        <w:rPr>
          <w:rFonts w:ascii="Verdana" w:hAnsi="Verdana"/>
          <w:b/>
          <w:sz w:val="18"/>
          <w:szCs w:val="18"/>
        </w:rPr>
        <w:tab/>
        <w:t>niezawodności oraz ciągłości pracy systemu,</w:t>
      </w:r>
    </w:p>
    <w:p w:rsidR="00752732" w:rsidRPr="00752732" w:rsidRDefault="00752732" w:rsidP="00752732">
      <w:pPr>
        <w:jc w:val="both"/>
        <w:rPr>
          <w:rFonts w:ascii="Verdana" w:hAnsi="Verdana"/>
          <w:b/>
          <w:sz w:val="18"/>
          <w:szCs w:val="18"/>
        </w:rPr>
      </w:pPr>
      <w:r w:rsidRPr="00752732">
        <w:rPr>
          <w:rFonts w:ascii="Verdana" w:hAnsi="Verdana"/>
          <w:b/>
          <w:sz w:val="18"/>
          <w:szCs w:val="18"/>
        </w:rPr>
        <w:t>−</w:t>
      </w:r>
      <w:r w:rsidRPr="00752732">
        <w:rPr>
          <w:rFonts w:ascii="Verdana" w:hAnsi="Verdana"/>
          <w:b/>
          <w:sz w:val="18"/>
          <w:szCs w:val="18"/>
        </w:rPr>
        <w:tab/>
        <w:t>bezpieczeństwa i komfortu użytkowników,</w:t>
      </w:r>
    </w:p>
    <w:p w:rsidR="00752732" w:rsidRPr="00752732" w:rsidRDefault="00752732" w:rsidP="00752732">
      <w:pPr>
        <w:jc w:val="both"/>
        <w:rPr>
          <w:rFonts w:ascii="Verdana" w:hAnsi="Verdana"/>
          <w:b/>
          <w:sz w:val="18"/>
          <w:szCs w:val="18"/>
        </w:rPr>
      </w:pPr>
      <w:r w:rsidRPr="00752732">
        <w:rPr>
          <w:rFonts w:ascii="Verdana" w:hAnsi="Verdana"/>
          <w:b/>
          <w:sz w:val="18"/>
          <w:szCs w:val="18"/>
        </w:rPr>
        <w:t>−</w:t>
      </w:r>
      <w:r w:rsidRPr="00752732">
        <w:rPr>
          <w:rFonts w:ascii="Verdana" w:hAnsi="Verdana"/>
          <w:b/>
          <w:sz w:val="18"/>
          <w:szCs w:val="18"/>
        </w:rPr>
        <w:tab/>
        <w:t>spójności technicznej z istniejącym środowiskiem AV i systemem sterowania,</w:t>
      </w:r>
    </w:p>
    <w:p w:rsidR="00E7284A" w:rsidRDefault="00752732" w:rsidP="00752732">
      <w:pPr>
        <w:jc w:val="both"/>
        <w:rPr>
          <w:rFonts w:ascii="Verdana" w:hAnsi="Verdana"/>
          <w:b/>
          <w:sz w:val="18"/>
          <w:szCs w:val="18"/>
        </w:rPr>
      </w:pPr>
      <w:r w:rsidRPr="00752732">
        <w:rPr>
          <w:rFonts w:ascii="Verdana" w:hAnsi="Verdana"/>
          <w:b/>
          <w:sz w:val="18"/>
          <w:szCs w:val="18"/>
        </w:rPr>
        <w:t>−</w:t>
      </w:r>
      <w:r w:rsidRPr="00752732">
        <w:rPr>
          <w:rFonts w:ascii="Verdana" w:hAnsi="Verdana"/>
          <w:b/>
          <w:sz w:val="18"/>
          <w:szCs w:val="18"/>
        </w:rPr>
        <w:tab/>
        <w:t>efektywności eksploatacyjnej oraz racjonalnych kosztów utrzymania infrastruktury.</w:t>
      </w:r>
    </w:p>
    <w:p w:rsidR="00E7284A" w:rsidRPr="00E7284A" w:rsidRDefault="00E7284A" w:rsidP="00E7284A">
      <w:pPr>
        <w:jc w:val="both"/>
        <w:rPr>
          <w:rFonts w:ascii="Verdana" w:hAnsi="Verdana"/>
          <w:b/>
          <w:sz w:val="18"/>
          <w:szCs w:val="18"/>
        </w:rPr>
      </w:pPr>
      <w:r w:rsidRPr="00E7284A">
        <w:rPr>
          <w:rFonts w:ascii="Verdana" w:hAnsi="Verdana"/>
          <w:b/>
          <w:sz w:val="18"/>
          <w:szCs w:val="18"/>
        </w:rPr>
        <w:t>Zamawiający podkreśla, że opis przedmiotu zamówienia został sformułowany w sposób proporcjonalny do zamierzonych celów i rzeczywistych potrzeb, a przyjęte wymagania nie mają na celu ograniczenia konkurencji, lecz wyznaczenie minimalnego standardu technicznego umożliwiającego osiągnięcie zakładanych efektów użytkowych. Obowiązek zapewnienia uczciwej konkurencji nie oznacza konieczności rezygnacji z wymagań uzasadnionych potrzebami organizacyjnymi, eksploatacyjnymi i ekonomicznymi Zamawiającego. Rezygnacja z wymogu kompatybilności skutkowałaby m.in. koniecznością zakupu nowych urządzeń, dodatkowymi kosztami konfiguracji i wdrożenia, wzrostem kosztów utrzymania i serwisu oraz utratą jednolitości technologicznej systemu.</w:t>
      </w:r>
    </w:p>
    <w:p w:rsidR="00E7284A" w:rsidRDefault="00E7284A" w:rsidP="00E7284A">
      <w:pPr>
        <w:jc w:val="both"/>
        <w:rPr>
          <w:rFonts w:ascii="Verdana" w:hAnsi="Verdana"/>
          <w:b/>
          <w:sz w:val="18"/>
          <w:szCs w:val="18"/>
        </w:rPr>
      </w:pPr>
      <w:r w:rsidRPr="00E7284A">
        <w:rPr>
          <w:rFonts w:ascii="Verdana" w:hAnsi="Verdana"/>
          <w:b/>
          <w:sz w:val="18"/>
          <w:szCs w:val="18"/>
        </w:rPr>
        <w:t xml:space="preserve">Mając na względzie zasadę proporcjonalności oraz w celu usunięcia ewentualnych wątpliwości interpretacyjnych, Zamawiający dokonuje modyfikacji Załącznika nr 1 poprzez doprecyzowanie zapisów w sposób umożliwiający oferowanie rozwiązań równoważnych, przy jednoczesnym zachowaniu wymogu kompatybilności z istniejącym systemem. </w:t>
      </w:r>
      <w:r w:rsidRPr="00E7284A">
        <w:rPr>
          <w:rFonts w:ascii="Verdana" w:hAnsi="Verdana"/>
          <w:b/>
          <w:sz w:val="18"/>
          <w:szCs w:val="18"/>
          <w:u w:val="single"/>
        </w:rPr>
        <w:t>Zamawiający zamieszcza zaktualizowany, obowiązujący Załącznik nr 1</w:t>
      </w:r>
      <w:r w:rsidRPr="00E7284A">
        <w:rPr>
          <w:rFonts w:ascii="Verdana" w:hAnsi="Verdana"/>
          <w:b/>
          <w:sz w:val="18"/>
          <w:szCs w:val="18"/>
        </w:rPr>
        <w:t xml:space="preserve"> (opis techniczny ww. urządzeń), podając pod każdą ze specyfikacji przykładowe modele spełniające określone kryteria.</w:t>
      </w:r>
    </w:p>
    <w:p w:rsidR="00E7284A" w:rsidRPr="00E7284A" w:rsidRDefault="00E7284A" w:rsidP="00E7284A">
      <w:pPr>
        <w:jc w:val="both"/>
        <w:rPr>
          <w:rFonts w:ascii="Verdana" w:hAnsi="Verdana"/>
          <w:b/>
          <w:sz w:val="18"/>
          <w:szCs w:val="18"/>
        </w:rPr>
      </w:pPr>
      <w:r w:rsidRPr="00E7284A">
        <w:rPr>
          <w:rFonts w:ascii="Verdana" w:hAnsi="Verdana"/>
          <w:b/>
          <w:sz w:val="18"/>
          <w:szCs w:val="18"/>
        </w:rPr>
        <w:t xml:space="preserve">W zakresie systemu sterowania, z uwagi na konieczność integracji z istniejącym systemem sterowania oświetleniem opartym na technologii </w:t>
      </w:r>
      <w:proofErr w:type="spellStart"/>
      <w:r w:rsidRPr="00E7284A">
        <w:rPr>
          <w:rFonts w:ascii="Verdana" w:hAnsi="Verdana"/>
          <w:b/>
          <w:sz w:val="18"/>
          <w:szCs w:val="18"/>
        </w:rPr>
        <w:t>Crestron</w:t>
      </w:r>
      <w:proofErr w:type="spellEnd"/>
      <w:r w:rsidRPr="00E7284A">
        <w:rPr>
          <w:rFonts w:ascii="Verdana" w:hAnsi="Verdana"/>
          <w:b/>
          <w:sz w:val="18"/>
          <w:szCs w:val="18"/>
        </w:rPr>
        <w:t xml:space="preserve">, Zamawiający wymaga zapewnienia kompatybilności oferowanego systemu sterowania z eksploatowaną infrastrukturą. Zamawiający dopuszcza rozwiązania równoważne, o ile Wykonawca wykaże, że zapewniają one pełną integrację z istniejącym systemem </w:t>
      </w:r>
      <w:proofErr w:type="spellStart"/>
      <w:r w:rsidRPr="00E7284A">
        <w:rPr>
          <w:rFonts w:ascii="Verdana" w:hAnsi="Verdana"/>
          <w:b/>
          <w:sz w:val="18"/>
          <w:szCs w:val="18"/>
        </w:rPr>
        <w:t>Crestron</w:t>
      </w:r>
      <w:proofErr w:type="spellEnd"/>
      <w:r w:rsidRPr="00E7284A">
        <w:rPr>
          <w:rFonts w:ascii="Verdana" w:hAnsi="Verdana"/>
          <w:b/>
          <w:sz w:val="18"/>
          <w:szCs w:val="18"/>
        </w:rPr>
        <w:t xml:space="preserve"> oraz nie powodują konieczności jego rozbudowy lub wymiany, w szczególności nie generują dodatkowych, nieuzasadnionych kosztów po stronie Zamawiającego, prowadzących do nieefektywnego wydatkowania środków publicznych oraz przedwczesnego wycofania urządzeń posiadających pełną wartość użytkową.  </w:t>
      </w:r>
    </w:p>
    <w:p w:rsidR="00E7284A" w:rsidRPr="00E7284A" w:rsidRDefault="00E7284A" w:rsidP="00E7284A">
      <w:pPr>
        <w:jc w:val="both"/>
        <w:rPr>
          <w:rFonts w:ascii="Verdana" w:hAnsi="Verdana"/>
          <w:b/>
          <w:sz w:val="18"/>
          <w:szCs w:val="18"/>
        </w:rPr>
      </w:pPr>
    </w:p>
    <w:p w:rsidR="00E7284A" w:rsidRPr="00E7284A" w:rsidRDefault="00E7284A" w:rsidP="00E7284A">
      <w:pPr>
        <w:jc w:val="both"/>
        <w:rPr>
          <w:rFonts w:ascii="Verdana" w:hAnsi="Verdana"/>
          <w:b/>
          <w:sz w:val="18"/>
          <w:szCs w:val="18"/>
        </w:rPr>
      </w:pPr>
      <w:r w:rsidRPr="00E7284A">
        <w:rPr>
          <w:rFonts w:ascii="Verdana" w:hAnsi="Verdana"/>
          <w:b/>
          <w:sz w:val="18"/>
          <w:szCs w:val="18"/>
        </w:rPr>
        <w:t>W celu spełnienia warunku kompatybilności i równoważności w obszarze systemu sterowania, oferowane urządzenia muszą bezwzględnie spełniać następujące minimalne parametry integracyjne:</w:t>
      </w:r>
    </w:p>
    <w:p w:rsidR="00E7284A" w:rsidRPr="00E7284A" w:rsidRDefault="00E7284A" w:rsidP="00E7284A">
      <w:pPr>
        <w:numPr>
          <w:ilvl w:val="0"/>
          <w:numId w:val="9"/>
        </w:numPr>
        <w:jc w:val="both"/>
        <w:rPr>
          <w:rFonts w:ascii="Verdana" w:hAnsi="Verdana"/>
          <w:b/>
          <w:sz w:val="18"/>
          <w:szCs w:val="18"/>
        </w:rPr>
      </w:pPr>
      <w:r w:rsidRPr="00E7284A">
        <w:rPr>
          <w:rFonts w:ascii="Verdana" w:hAnsi="Verdana"/>
          <w:b/>
          <w:sz w:val="18"/>
          <w:szCs w:val="18"/>
        </w:rPr>
        <w:t xml:space="preserve">Zapewniać pełną, bezawaryjną i dwukierunkową komunikację z istniejącą instalacją oświetleniową </w:t>
      </w:r>
      <w:proofErr w:type="spellStart"/>
      <w:r w:rsidRPr="00E7284A">
        <w:rPr>
          <w:rFonts w:ascii="Verdana" w:hAnsi="Verdana"/>
          <w:b/>
          <w:sz w:val="18"/>
          <w:szCs w:val="18"/>
        </w:rPr>
        <w:t>Crestron</w:t>
      </w:r>
      <w:proofErr w:type="spellEnd"/>
      <w:r w:rsidRPr="00E7284A">
        <w:rPr>
          <w:rFonts w:ascii="Verdana" w:hAnsi="Verdana"/>
          <w:b/>
          <w:sz w:val="18"/>
          <w:szCs w:val="18"/>
        </w:rPr>
        <w:t xml:space="preserve"> w czasie rzeczywistym, bez ograniczania jej dotychczasowej funkcjonalności.  </w:t>
      </w:r>
    </w:p>
    <w:p w:rsidR="00E7284A" w:rsidRPr="00E7284A" w:rsidRDefault="00E7284A" w:rsidP="00E7284A">
      <w:pPr>
        <w:numPr>
          <w:ilvl w:val="0"/>
          <w:numId w:val="9"/>
        </w:numPr>
        <w:jc w:val="both"/>
        <w:rPr>
          <w:rFonts w:ascii="Verdana" w:hAnsi="Verdana"/>
          <w:b/>
          <w:sz w:val="18"/>
          <w:szCs w:val="18"/>
        </w:rPr>
      </w:pPr>
      <w:r w:rsidRPr="00E7284A">
        <w:rPr>
          <w:rFonts w:ascii="Verdana" w:hAnsi="Verdana"/>
          <w:b/>
          <w:sz w:val="18"/>
          <w:szCs w:val="18"/>
        </w:rPr>
        <w:t xml:space="preserve">Obsługiwać otwarte oraz dedykowane protokoły i standardy sieciowe automatyki budynkowej: </w:t>
      </w:r>
      <w:proofErr w:type="spellStart"/>
      <w:r w:rsidRPr="00E7284A">
        <w:rPr>
          <w:rFonts w:ascii="Verdana" w:hAnsi="Verdana"/>
          <w:b/>
          <w:sz w:val="18"/>
          <w:szCs w:val="18"/>
        </w:rPr>
        <w:t>BACnet</w:t>
      </w:r>
      <w:proofErr w:type="spellEnd"/>
      <w:r w:rsidRPr="00E7284A">
        <w:rPr>
          <w:rFonts w:ascii="Verdana" w:hAnsi="Verdana"/>
          <w:b/>
          <w:sz w:val="18"/>
          <w:szCs w:val="18"/>
        </w:rPr>
        <w:t xml:space="preserve">/IP, IPv6, DMX oraz </w:t>
      </w:r>
      <w:proofErr w:type="spellStart"/>
      <w:r w:rsidRPr="00E7284A">
        <w:rPr>
          <w:rFonts w:ascii="Verdana" w:hAnsi="Verdana"/>
          <w:b/>
          <w:sz w:val="18"/>
          <w:szCs w:val="18"/>
        </w:rPr>
        <w:t>Crestron</w:t>
      </w:r>
      <w:proofErr w:type="spellEnd"/>
      <w:r w:rsidRPr="00E7284A">
        <w:rPr>
          <w:rFonts w:ascii="Verdana" w:hAnsi="Verdana"/>
          <w:b/>
          <w:sz w:val="18"/>
          <w:szCs w:val="18"/>
        </w:rPr>
        <w:t xml:space="preserve"> Green </w:t>
      </w:r>
      <w:proofErr w:type="spellStart"/>
      <w:r w:rsidRPr="00E7284A">
        <w:rPr>
          <w:rFonts w:ascii="Verdana" w:hAnsi="Verdana"/>
          <w:b/>
          <w:sz w:val="18"/>
          <w:szCs w:val="18"/>
        </w:rPr>
        <w:t>Light</w:t>
      </w:r>
      <w:proofErr w:type="spellEnd"/>
      <w:r w:rsidRPr="00E7284A">
        <w:rPr>
          <w:rFonts w:ascii="Verdana" w:hAnsi="Verdana"/>
          <w:b/>
          <w:sz w:val="18"/>
          <w:szCs w:val="18"/>
        </w:rPr>
        <w:t xml:space="preserve">.  </w:t>
      </w:r>
    </w:p>
    <w:p w:rsidR="00E7284A" w:rsidRPr="00E7284A" w:rsidRDefault="00E7284A" w:rsidP="00E7284A">
      <w:pPr>
        <w:numPr>
          <w:ilvl w:val="0"/>
          <w:numId w:val="9"/>
        </w:numPr>
        <w:jc w:val="both"/>
        <w:rPr>
          <w:rFonts w:ascii="Verdana" w:hAnsi="Verdana"/>
          <w:b/>
          <w:sz w:val="18"/>
          <w:szCs w:val="18"/>
        </w:rPr>
      </w:pPr>
      <w:r w:rsidRPr="00E7284A">
        <w:rPr>
          <w:rFonts w:ascii="Verdana" w:hAnsi="Verdana"/>
          <w:b/>
          <w:sz w:val="18"/>
          <w:szCs w:val="18"/>
        </w:rPr>
        <w:t xml:space="preserve">Posiadać sprzętowe interfejsy komunikacyjne kompatybilne z infrastrukturą obiektu: minimum 1x port Ethernet 10/100/1000 </w:t>
      </w:r>
      <w:proofErr w:type="spellStart"/>
      <w:r w:rsidRPr="00E7284A">
        <w:rPr>
          <w:rFonts w:ascii="Verdana" w:hAnsi="Verdana"/>
          <w:b/>
          <w:sz w:val="18"/>
          <w:szCs w:val="18"/>
        </w:rPr>
        <w:t>Mbps</w:t>
      </w:r>
      <w:proofErr w:type="spellEnd"/>
      <w:r w:rsidRPr="00E7284A">
        <w:rPr>
          <w:rFonts w:ascii="Verdana" w:hAnsi="Verdana"/>
          <w:b/>
          <w:sz w:val="18"/>
          <w:szCs w:val="18"/>
        </w:rPr>
        <w:t xml:space="preserve"> z obsługą protokołów TCP/IP, UDP/IP, CIP, DHCP, SSL oraz porty szeregowe RS-232/RS-485 do komunikacji dwukierunkowej.  </w:t>
      </w:r>
    </w:p>
    <w:p w:rsidR="00E7284A" w:rsidRPr="00E7284A" w:rsidRDefault="00E7284A" w:rsidP="00E7284A">
      <w:pPr>
        <w:numPr>
          <w:ilvl w:val="0"/>
          <w:numId w:val="9"/>
        </w:numPr>
        <w:jc w:val="both"/>
        <w:rPr>
          <w:rFonts w:ascii="Verdana" w:hAnsi="Verdana"/>
          <w:b/>
          <w:sz w:val="18"/>
          <w:szCs w:val="18"/>
        </w:rPr>
      </w:pPr>
      <w:r w:rsidRPr="00E7284A">
        <w:rPr>
          <w:rFonts w:ascii="Verdana" w:hAnsi="Verdana"/>
          <w:b/>
          <w:sz w:val="18"/>
          <w:szCs w:val="18"/>
        </w:rPr>
        <w:t xml:space="preserve">Zapewnić obsługę min. 9 programów jednocześnie oraz możliwość </w:t>
      </w:r>
      <w:proofErr w:type="spellStart"/>
      <w:r w:rsidRPr="00E7284A">
        <w:rPr>
          <w:rFonts w:ascii="Verdana" w:hAnsi="Verdana"/>
          <w:b/>
          <w:sz w:val="18"/>
          <w:szCs w:val="18"/>
        </w:rPr>
        <w:t>bezlatencyjnego</w:t>
      </w:r>
      <w:proofErr w:type="spellEnd"/>
      <w:r w:rsidRPr="00E7284A">
        <w:rPr>
          <w:rFonts w:ascii="Verdana" w:hAnsi="Verdana"/>
          <w:b/>
          <w:sz w:val="18"/>
          <w:szCs w:val="18"/>
        </w:rPr>
        <w:t xml:space="preserve"> sterowania z dostarczanych paneli stołowych (poz. 27) i mobilnych (poz. 28).  </w:t>
      </w:r>
      <w:bookmarkStart w:id="0" w:name="_GoBack"/>
      <w:bookmarkEnd w:id="0"/>
    </w:p>
    <w:p w:rsidR="00E7284A" w:rsidRDefault="00E7284A" w:rsidP="00E7284A">
      <w:pPr>
        <w:jc w:val="both"/>
        <w:rPr>
          <w:rFonts w:ascii="Verdana" w:hAnsi="Verdana"/>
          <w:b/>
          <w:sz w:val="18"/>
          <w:szCs w:val="18"/>
        </w:rPr>
      </w:pPr>
      <w:r w:rsidRPr="00E7284A">
        <w:rPr>
          <w:rFonts w:ascii="Verdana" w:hAnsi="Verdana"/>
          <w:b/>
          <w:sz w:val="18"/>
          <w:szCs w:val="18"/>
        </w:rPr>
        <w:t>Wszelkie koszty zakupu niezbędnych interfejsów, licencji programowych oraz bramek sieciowych niezbędnych do uruchomienia pełnej integracji leżą po stronie Wykonawcy</w:t>
      </w:r>
      <w:r w:rsidR="004230AB">
        <w:rPr>
          <w:rFonts w:ascii="Verdana" w:hAnsi="Verdana"/>
          <w:b/>
          <w:sz w:val="18"/>
          <w:szCs w:val="18"/>
        </w:rPr>
        <w:t>.</w:t>
      </w:r>
    </w:p>
    <w:p w:rsidR="00E7284A" w:rsidRDefault="00E7284A" w:rsidP="00752732">
      <w:pPr>
        <w:jc w:val="both"/>
        <w:rPr>
          <w:rFonts w:ascii="Verdana" w:hAnsi="Verdana"/>
          <w:b/>
          <w:sz w:val="18"/>
          <w:szCs w:val="18"/>
        </w:rPr>
      </w:pPr>
    </w:p>
    <w:sectPr w:rsidR="00E7284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24A6" w:rsidRDefault="000824A6">
      <w:r>
        <w:separator/>
      </w:r>
    </w:p>
  </w:endnote>
  <w:endnote w:type="continuationSeparator" w:id="0">
    <w:p w:rsidR="000824A6" w:rsidRDefault="00082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230A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24A6" w:rsidRDefault="000824A6">
      <w:r>
        <w:separator/>
      </w:r>
    </w:p>
  </w:footnote>
  <w:footnote w:type="continuationSeparator" w:id="0">
    <w:p w:rsidR="000824A6" w:rsidRDefault="00082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7612" w:rsidRDefault="006C76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7612" w:rsidRDefault="006C76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7612" w:rsidRDefault="006C76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494E67"/>
    <w:multiLevelType w:val="hybridMultilevel"/>
    <w:tmpl w:val="E488ED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170FDF"/>
    <w:multiLevelType w:val="hybridMultilevel"/>
    <w:tmpl w:val="FF805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3"/>
  </w:num>
  <w:num w:numId="7">
    <w:abstractNumId w:val="6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24A6"/>
    <w:rsid w:val="00031374"/>
    <w:rsid w:val="000824A6"/>
    <w:rsid w:val="000A1097"/>
    <w:rsid w:val="000E2A8F"/>
    <w:rsid w:val="0010223E"/>
    <w:rsid w:val="0012774F"/>
    <w:rsid w:val="00144B7A"/>
    <w:rsid w:val="00180C6E"/>
    <w:rsid w:val="0029606A"/>
    <w:rsid w:val="002C6A48"/>
    <w:rsid w:val="00360DAA"/>
    <w:rsid w:val="004230AB"/>
    <w:rsid w:val="00466400"/>
    <w:rsid w:val="004848F3"/>
    <w:rsid w:val="004A75F2"/>
    <w:rsid w:val="005144A9"/>
    <w:rsid w:val="00520165"/>
    <w:rsid w:val="005B1B08"/>
    <w:rsid w:val="00632C3C"/>
    <w:rsid w:val="00662BDB"/>
    <w:rsid w:val="006A3D2F"/>
    <w:rsid w:val="006A5DF1"/>
    <w:rsid w:val="006B7198"/>
    <w:rsid w:val="006C7612"/>
    <w:rsid w:val="006D4AB3"/>
    <w:rsid w:val="006F3B81"/>
    <w:rsid w:val="00711222"/>
    <w:rsid w:val="00752732"/>
    <w:rsid w:val="007D7198"/>
    <w:rsid w:val="00864538"/>
    <w:rsid w:val="00870F9F"/>
    <w:rsid w:val="008804B6"/>
    <w:rsid w:val="00897AB0"/>
    <w:rsid w:val="008A3553"/>
    <w:rsid w:val="0090198E"/>
    <w:rsid w:val="0092159E"/>
    <w:rsid w:val="00A053D1"/>
    <w:rsid w:val="00A905AC"/>
    <w:rsid w:val="00AB7BB3"/>
    <w:rsid w:val="00B127E1"/>
    <w:rsid w:val="00BA20AB"/>
    <w:rsid w:val="00BA6584"/>
    <w:rsid w:val="00BE7BFD"/>
    <w:rsid w:val="00C14A10"/>
    <w:rsid w:val="00C370F2"/>
    <w:rsid w:val="00C44EEC"/>
    <w:rsid w:val="00D22FFA"/>
    <w:rsid w:val="00D8461B"/>
    <w:rsid w:val="00D915F2"/>
    <w:rsid w:val="00DC0F16"/>
    <w:rsid w:val="00DF32E8"/>
    <w:rsid w:val="00DF53CA"/>
    <w:rsid w:val="00E21B49"/>
    <w:rsid w:val="00E25A6D"/>
    <w:rsid w:val="00E2789F"/>
    <w:rsid w:val="00E669B7"/>
    <w:rsid w:val="00E715A3"/>
    <w:rsid w:val="00E72428"/>
    <w:rsid w:val="00E7284A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0E84AA"/>
  <w15:chartTrackingRefBased/>
  <w15:docId w15:val="{A93444EB-A595-4393-B66E-F1BBAAEE7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0223E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10223E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72</TotalTime>
  <Pages>5</Pages>
  <Words>2672</Words>
  <Characters>17486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11</cp:revision>
  <cp:lastPrinted>2026-06-02T09:12:00Z</cp:lastPrinted>
  <dcterms:created xsi:type="dcterms:W3CDTF">2026-06-02T05:22:00Z</dcterms:created>
  <dcterms:modified xsi:type="dcterms:W3CDTF">2026-06-02T09:13:00Z</dcterms:modified>
</cp:coreProperties>
</file>