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4147A" w14:textId="7234FEFA" w:rsidR="008A29D9" w:rsidRDefault="008A29D9" w:rsidP="008A29D9">
      <w:pPr>
        <w:spacing w:after="240"/>
        <w:jc w:val="right"/>
        <w:rPr>
          <w:rFonts w:ascii="Verdana" w:hAnsi="Verdana"/>
          <w:sz w:val="18"/>
          <w:szCs w:val="18"/>
        </w:rPr>
      </w:pPr>
      <w:r>
        <w:rPr>
          <w:rFonts w:ascii="Verdana" w:hAnsi="Verdana"/>
          <w:sz w:val="18"/>
          <w:szCs w:val="18"/>
        </w:rPr>
        <w:t>Kraków dnia: 2026-05-</w:t>
      </w:r>
      <w:r>
        <w:rPr>
          <w:rFonts w:ascii="Verdana" w:hAnsi="Verdana"/>
          <w:sz w:val="18"/>
          <w:szCs w:val="18"/>
        </w:rPr>
        <w:t>13</w:t>
      </w:r>
    </w:p>
    <w:p w14:paraId="48324557" w14:textId="77777777" w:rsidR="008A29D9" w:rsidRDefault="008A29D9" w:rsidP="008A29D9">
      <w:pPr>
        <w:rPr>
          <w:rFonts w:ascii="Verdana" w:hAnsi="Verdana"/>
          <w:b/>
          <w:bCs/>
          <w:sz w:val="18"/>
          <w:szCs w:val="18"/>
        </w:rPr>
      </w:pPr>
      <w:r>
        <w:rPr>
          <w:rFonts w:ascii="Verdana" w:hAnsi="Verdana"/>
          <w:b/>
          <w:bCs/>
          <w:sz w:val="18"/>
          <w:szCs w:val="18"/>
        </w:rPr>
        <w:t>Akademia Górniczo - Hutnicza</w:t>
      </w:r>
    </w:p>
    <w:p w14:paraId="4B9AFD36" w14:textId="77777777" w:rsidR="008A29D9" w:rsidRDefault="008A29D9" w:rsidP="008A29D9">
      <w:pPr>
        <w:rPr>
          <w:rFonts w:ascii="Verdana" w:hAnsi="Verdana"/>
          <w:b/>
          <w:bCs/>
          <w:sz w:val="18"/>
          <w:szCs w:val="18"/>
        </w:rPr>
      </w:pPr>
      <w:r>
        <w:rPr>
          <w:rFonts w:ascii="Verdana" w:hAnsi="Verdana"/>
          <w:b/>
          <w:bCs/>
          <w:sz w:val="18"/>
          <w:szCs w:val="18"/>
        </w:rPr>
        <w:t>im. Stanisława Staszica w Krakowie</w:t>
      </w:r>
    </w:p>
    <w:p w14:paraId="13F0DBF5" w14:textId="77777777" w:rsidR="008A29D9" w:rsidRDefault="008A29D9" w:rsidP="008A29D9">
      <w:pPr>
        <w:rPr>
          <w:rFonts w:ascii="Verdana" w:hAnsi="Verdana"/>
          <w:b/>
          <w:bCs/>
          <w:sz w:val="18"/>
          <w:szCs w:val="18"/>
        </w:rPr>
      </w:pPr>
      <w:r>
        <w:rPr>
          <w:rFonts w:ascii="Verdana" w:hAnsi="Verdana"/>
          <w:b/>
          <w:bCs/>
          <w:sz w:val="18"/>
          <w:szCs w:val="18"/>
        </w:rPr>
        <w:t>Dział Zamówień Publicznych</w:t>
      </w:r>
    </w:p>
    <w:p w14:paraId="1A330998" w14:textId="77777777" w:rsidR="008A29D9" w:rsidRDefault="008A29D9" w:rsidP="008A29D9">
      <w:pPr>
        <w:rPr>
          <w:rFonts w:ascii="Verdana" w:hAnsi="Verdana"/>
          <w:sz w:val="18"/>
          <w:szCs w:val="18"/>
        </w:rPr>
      </w:pPr>
      <w:r>
        <w:rPr>
          <w:rFonts w:ascii="Verdana" w:hAnsi="Verdana"/>
          <w:sz w:val="18"/>
          <w:szCs w:val="18"/>
        </w:rPr>
        <w:t>Al. Mickiewicza 30</w:t>
      </w:r>
    </w:p>
    <w:p w14:paraId="3303B98D" w14:textId="77777777" w:rsidR="008A29D9" w:rsidRDefault="008A29D9" w:rsidP="008A29D9">
      <w:pPr>
        <w:rPr>
          <w:rFonts w:ascii="Verdana" w:hAnsi="Verdana"/>
          <w:sz w:val="18"/>
          <w:szCs w:val="18"/>
        </w:rPr>
      </w:pPr>
      <w:r>
        <w:rPr>
          <w:rFonts w:ascii="Verdana" w:hAnsi="Verdana"/>
          <w:sz w:val="18"/>
          <w:szCs w:val="18"/>
        </w:rPr>
        <w:t>30-059 Kraków</w:t>
      </w:r>
    </w:p>
    <w:p w14:paraId="30F22BF1" w14:textId="77777777" w:rsidR="008A29D9" w:rsidRDefault="008A29D9" w:rsidP="008A29D9">
      <w:pPr>
        <w:pStyle w:val="Nagwek"/>
        <w:tabs>
          <w:tab w:val="clear" w:pos="4536"/>
        </w:tabs>
        <w:rPr>
          <w:rFonts w:ascii="Verdana" w:hAnsi="Verdana"/>
          <w:sz w:val="18"/>
          <w:szCs w:val="18"/>
        </w:rPr>
      </w:pPr>
      <w:r>
        <w:rPr>
          <w:rFonts w:ascii="Verdana" w:hAnsi="Verdana"/>
          <w:sz w:val="18"/>
          <w:szCs w:val="18"/>
        </w:rPr>
        <w:t>Pismo:</w:t>
      </w:r>
      <w:r>
        <w:rPr>
          <w:rFonts w:ascii="Verdana" w:hAnsi="Verdana"/>
          <w:b/>
          <w:bCs/>
          <w:sz w:val="18"/>
          <w:szCs w:val="18"/>
        </w:rPr>
        <w:t xml:space="preserve"> </w:t>
      </w:r>
      <w:r>
        <w:rPr>
          <w:rFonts w:ascii="Verdana" w:hAnsi="Verdana"/>
          <w:bCs/>
          <w:sz w:val="18"/>
          <w:szCs w:val="18"/>
        </w:rPr>
        <w:t>KC-DE-zp.25.146.2026</w:t>
      </w:r>
      <w:r>
        <w:rPr>
          <w:rFonts w:ascii="Verdana" w:hAnsi="Verdana"/>
          <w:sz w:val="18"/>
          <w:szCs w:val="18"/>
        </w:rPr>
        <w:tab/>
        <w:t xml:space="preserve"> </w:t>
      </w:r>
    </w:p>
    <w:p w14:paraId="558C8E99" w14:textId="77777777" w:rsidR="008A29D9" w:rsidRDefault="008A29D9" w:rsidP="008A29D9">
      <w:pPr>
        <w:pStyle w:val="Nagwek"/>
        <w:tabs>
          <w:tab w:val="left" w:pos="708"/>
        </w:tabs>
        <w:rPr>
          <w:rFonts w:ascii="Verdana" w:hAnsi="Verdana"/>
          <w:sz w:val="18"/>
          <w:szCs w:val="18"/>
        </w:rPr>
      </w:pPr>
      <w:bookmarkStart w:id="0" w:name="_GoBack"/>
      <w:bookmarkEnd w:id="0"/>
    </w:p>
    <w:p w14:paraId="0C475974" w14:textId="77777777" w:rsidR="008A29D9" w:rsidRDefault="008A29D9" w:rsidP="008A29D9">
      <w:pPr>
        <w:tabs>
          <w:tab w:val="left" w:pos="708"/>
          <w:tab w:val="center" w:pos="4536"/>
          <w:tab w:val="right" w:pos="9072"/>
        </w:tabs>
        <w:spacing w:after="20"/>
        <w:ind w:left="5245"/>
        <w:rPr>
          <w:rFonts w:ascii="Verdana" w:hAnsi="Verdana"/>
          <w:b/>
          <w:sz w:val="18"/>
          <w:szCs w:val="18"/>
        </w:rPr>
      </w:pPr>
      <w:r>
        <w:rPr>
          <w:rFonts w:ascii="Verdana" w:hAnsi="Verdana"/>
          <w:b/>
          <w:sz w:val="18"/>
          <w:szCs w:val="18"/>
        </w:rPr>
        <w:t>WYKONAWCY</w:t>
      </w:r>
    </w:p>
    <w:p w14:paraId="283F70C3" w14:textId="77777777" w:rsidR="008A29D9" w:rsidRDefault="008A29D9" w:rsidP="008A29D9">
      <w:pPr>
        <w:tabs>
          <w:tab w:val="left" w:pos="708"/>
          <w:tab w:val="center" w:pos="4536"/>
          <w:tab w:val="right" w:pos="9072"/>
        </w:tabs>
        <w:spacing w:after="20"/>
        <w:ind w:left="5245"/>
        <w:rPr>
          <w:rFonts w:ascii="Verdana" w:hAnsi="Verdana"/>
          <w:sz w:val="18"/>
          <w:szCs w:val="18"/>
        </w:rPr>
      </w:pPr>
      <w:r>
        <w:rPr>
          <w:rFonts w:ascii="Verdana" w:hAnsi="Verdana"/>
          <w:sz w:val="18"/>
          <w:szCs w:val="18"/>
        </w:rPr>
        <w:t>ubiegający się o zamówienie publiczne</w:t>
      </w:r>
    </w:p>
    <w:p w14:paraId="24D5B678" w14:textId="77777777" w:rsidR="008A29D9" w:rsidRDefault="008A29D9" w:rsidP="008A29D9">
      <w:pPr>
        <w:pStyle w:val="Nagwek"/>
        <w:tabs>
          <w:tab w:val="clear" w:pos="4536"/>
        </w:tabs>
        <w:rPr>
          <w:rFonts w:ascii="Verdana" w:hAnsi="Verdana"/>
          <w:sz w:val="18"/>
          <w:szCs w:val="18"/>
        </w:rPr>
      </w:pPr>
    </w:p>
    <w:p w14:paraId="35C5D3F7" w14:textId="77777777" w:rsidR="008A29D9" w:rsidRDefault="008A29D9" w:rsidP="008A29D9">
      <w:pPr>
        <w:pStyle w:val="Nagwek1"/>
        <w:spacing w:after="480" w:line="276" w:lineRule="auto"/>
        <w:jc w:val="center"/>
        <w:rPr>
          <w:rFonts w:ascii="Verdana" w:hAnsi="Verdana"/>
          <w:sz w:val="18"/>
          <w:szCs w:val="18"/>
        </w:rPr>
      </w:pPr>
      <w:r>
        <w:rPr>
          <w:rFonts w:ascii="Verdana" w:hAnsi="Verdana"/>
          <w:sz w:val="18"/>
          <w:szCs w:val="18"/>
        </w:rPr>
        <w:t>WYJAŚNIENIA TREŚCI SWZ</w:t>
      </w:r>
    </w:p>
    <w:p w14:paraId="01617151" w14:textId="77777777" w:rsidR="008A29D9" w:rsidRDefault="008A29D9" w:rsidP="008A29D9">
      <w:pPr>
        <w:spacing w:after="360" w:line="276" w:lineRule="auto"/>
        <w:jc w:val="both"/>
        <w:rPr>
          <w:rFonts w:ascii="Verdana" w:hAnsi="Verdana"/>
          <w:sz w:val="18"/>
          <w:szCs w:val="18"/>
        </w:rPr>
      </w:pPr>
      <w:r>
        <w:rPr>
          <w:rFonts w:ascii="Verdana" w:hAnsi="Verdana"/>
          <w:sz w:val="18"/>
          <w:szCs w:val="18"/>
        </w:rPr>
        <w:t xml:space="preserve">Dotyczy: postępowania o udzielenie zamówienia publicznego, prowadzonego w trybie: Tryb podstawowy bez negocjacji - art. 275 pkt. 1 ustawy </w:t>
      </w:r>
      <w:proofErr w:type="spellStart"/>
      <w:r>
        <w:rPr>
          <w:rFonts w:ascii="Verdana" w:hAnsi="Verdana"/>
          <w:sz w:val="18"/>
          <w:szCs w:val="18"/>
        </w:rPr>
        <w:t>Pzp</w:t>
      </w:r>
      <w:proofErr w:type="spellEnd"/>
      <w:r>
        <w:rPr>
          <w:rFonts w:ascii="Verdana" w:hAnsi="Verdana"/>
          <w:b/>
          <w:sz w:val="18"/>
          <w:szCs w:val="18"/>
        </w:rPr>
        <w:t xml:space="preserve"> </w:t>
      </w:r>
      <w:r>
        <w:rPr>
          <w:rFonts w:ascii="Verdana" w:hAnsi="Verdana"/>
          <w:bCs/>
          <w:sz w:val="18"/>
          <w:szCs w:val="18"/>
        </w:rPr>
        <w:t>pn.</w:t>
      </w:r>
      <w:r>
        <w:rPr>
          <w:rFonts w:ascii="Verdana" w:hAnsi="Verdana"/>
          <w:b/>
          <w:sz w:val="18"/>
          <w:szCs w:val="18"/>
        </w:rPr>
        <w:t xml:space="preserve"> </w:t>
      </w:r>
      <w:r>
        <w:rPr>
          <w:rFonts w:ascii="Verdana" w:hAnsi="Verdana"/>
          <w:bCs/>
          <w:sz w:val="18"/>
          <w:szCs w:val="18"/>
        </w:rPr>
        <w:t>”</w:t>
      </w:r>
      <w:r>
        <w:rPr>
          <w:rFonts w:ascii="Verdana" w:hAnsi="Verdana"/>
          <w:b/>
          <w:bCs/>
          <w:sz w:val="18"/>
          <w:szCs w:val="18"/>
        </w:rPr>
        <w:t xml:space="preserve">Remont  wraz z modernizacją </w:t>
      </w:r>
      <w:proofErr w:type="spellStart"/>
      <w:r>
        <w:rPr>
          <w:rFonts w:ascii="Verdana" w:hAnsi="Verdana"/>
          <w:b/>
          <w:bCs/>
          <w:sz w:val="18"/>
          <w:szCs w:val="18"/>
        </w:rPr>
        <w:t>sal</w:t>
      </w:r>
      <w:proofErr w:type="spellEnd"/>
      <w:r>
        <w:rPr>
          <w:rFonts w:ascii="Verdana" w:hAnsi="Verdana"/>
          <w:b/>
          <w:bCs/>
          <w:sz w:val="18"/>
          <w:szCs w:val="18"/>
        </w:rPr>
        <w:t xml:space="preserve"> wykładowych A nr 105 i B nr 104 w pawilonie D-10 na terenie  AGH w Krakowie - KC-DE-zp.25.146.2026</w:t>
      </w:r>
      <w:r>
        <w:rPr>
          <w:rFonts w:ascii="Verdana" w:hAnsi="Verdana"/>
          <w:bCs/>
          <w:sz w:val="18"/>
          <w:szCs w:val="18"/>
        </w:rPr>
        <w:t>”</w:t>
      </w:r>
      <w:r>
        <w:rPr>
          <w:rFonts w:ascii="Verdana" w:hAnsi="Verdana"/>
          <w:b/>
          <w:sz w:val="18"/>
          <w:szCs w:val="18"/>
        </w:rPr>
        <w:t>.</w:t>
      </w:r>
    </w:p>
    <w:p w14:paraId="1244E7F3" w14:textId="77777777" w:rsidR="008A29D9" w:rsidRDefault="008A29D9" w:rsidP="008A29D9">
      <w:pPr>
        <w:spacing w:after="240" w:line="276" w:lineRule="auto"/>
        <w:jc w:val="both"/>
        <w:rPr>
          <w:rFonts w:ascii="Verdana" w:hAnsi="Verdana"/>
          <w:sz w:val="18"/>
          <w:szCs w:val="18"/>
        </w:rPr>
      </w:pPr>
      <w:r>
        <w:rPr>
          <w:rFonts w:ascii="Verdana" w:hAnsi="Verdana"/>
          <w:sz w:val="18"/>
          <w:szCs w:val="18"/>
        </w:rPr>
        <w:t xml:space="preserve">Zamawiający, działając na podstawie art. 284 ust. 6 ustawy z dnia 11 września 2019 r. Prawo zamówień publicznych (Dz.U.2024.1320 </w:t>
      </w:r>
      <w:proofErr w:type="spellStart"/>
      <w:r>
        <w:rPr>
          <w:rFonts w:ascii="Verdana" w:hAnsi="Verdana"/>
          <w:sz w:val="18"/>
          <w:szCs w:val="18"/>
        </w:rPr>
        <w:t>t.j</w:t>
      </w:r>
      <w:proofErr w:type="spellEnd"/>
      <w:r>
        <w:rPr>
          <w:rFonts w:ascii="Verdana" w:hAnsi="Verdana"/>
          <w:sz w:val="18"/>
          <w:szCs w:val="18"/>
        </w:rPr>
        <w:t>. ze zm.) udostępnia poniżej treść zapytań do Specyfikacji Warunków Zamówienia (</w:t>
      </w:r>
      <w:r>
        <w:rPr>
          <w:rFonts w:ascii="Verdana" w:hAnsi="Verdana"/>
          <w:sz w:val="18"/>
          <w:szCs w:val="18"/>
          <w:lang w:eastAsia="ar-SA"/>
        </w:rPr>
        <w:t>zwanej dalej</w:t>
      </w:r>
      <w:r>
        <w:rPr>
          <w:rFonts w:ascii="Verdana" w:hAnsi="Verdana"/>
          <w:b/>
          <w:sz w:val="18"/>
          <w:szCs w:val="18"/>
          <w:lang w:eastAsia="ar-SA"/>
        </w:rPr>
        <w:t xml:space="preserve"> </w:t>
      </w:r>
      <w:r>
        <w:rPr>
          <w:rFonts w:ascii="Verdana" w:hAnsi="Verdana"/>
          <w:bCs/>
          <w:sz w:val="18"/>
          <w:szCs w:val="18"/>
          <w:lang w:eastAsia="ar-SA"/>
        </w:rPr>
        <w:t xml:space="preserve">”SWZ”) </w:t>
      </w:r>
      <w:r>
        <w:rPr>
          <w:rFonts w:ascii="Verdana" w:hAnsi="Verdana"/>
          <w:sz w:val="18"/>
          <w:szCs w:val="18"/>
        </w:rPr>
        <w:t>wraz z wyjaśnieniami</w:t>
      </w:r>
      <w:r>
        <w:rPr>
          <w:rFonts w:ascii="Verdana" w:hAnsi="Verdana"/>
          <w:bCs/>
          <w:sz w:val="18"/>
          <w:szCs w:val="18"/>
          <w:lang w:eastAsia="ar-SA"/>
        </w:rPr>
        <w:t>:</w:t>
      </w:r>
    </w:p>
    <w:p w14:paraId="78831F9B" w14:textId="77777777" w:rsidR="008A29D9" w:rsidRDefault="008A29D9" w:rsidP="008A29D9">
      <w:pPr>
        <w:numPr>
          <w:ilvl w:val="0"/>
          <w:numId w:val="12"/>
        </w:numPr>
        <w:ind w:left="360"/>
        <w:jc w:val="both"/>
        <w:rPr>
          <w:rFonts w:ascii="Verdana" w:hAnsi="Verdana"/>
          <w:sz w:val="18"/>
          <w:szCs w:val="18"/>
        </w:rPr>
      </w:pPr>
      <w:r>
        <w:rPr>
          <w:rFonts w:ascii="Verdana" w:hAnsi="Verdana"/>
          <w:sz w:val="18"/>
          <w:szCs w:val="18"/>
        </w:rPr>
        <w:t xml:space="preserve">Czy Zamawiający na czas remontu zapewni miejsce składowania zdemontowanych krzesełek i wyposażenia? Jeżeli tak to prosimy o wskazanie miejsca (najlepiej w obrębie budynku) celem prawidłowego oszacowania kosztów transportu i magazynowania. </w:t>
      </w:r>
    </w:p>
    <w:p w14:paraId="596069D7" w14:textId="77777777" w:rsidR="008A29D9" w:rsidRDefault="008A29D9" w:rsidP="008A29D9">
      <w:pPr>
        <w:jc w:val="both"/>
        <w:rPr>
          <w:rFonts w:ascii="Verdana" w:hAnsi="Verdana"/>
          <w:b/>
          <w:bCs/>
          <w:color w:val="FF0000"/>
          <w:sz w:val="18"/>
          <w:szCs w:val="18"/>
        </w:rPr>
      </w:pPr>
    </w:p>
    <w:p w14:paraId="62C94E52" w14:textId="77777777" w:rsidR="008A29D9" w:rsidRDefault="008A29D9" w:rsidP="008A29D9">
      <w:pPr>
        <w:ind w:left="360"/>
        <w:jc w:val="both"/>
        <w:rPr>
          <w:rFonts w:ascii="Verdana" w:hAnsi="Verdana"/>
          <w:b/>
          <w:bCs/>
          <w:color w:val="000000"/>
          <w:sz w:val="18"/>
          <w:szCs w:val="18"/>
        </w:rPr>
      </w:pPr>
      <w:r>
        <w:rPr>
          <w:rFonts w:ascii="Verdana" w:hAnsi="Verdana"/>
          <w:b/>
          <w:bCs/>
          <w:color w:val="000000"/>
          <w:sz w:val="18"/>
          <w:szCs w:val="18"/>
        </w:rPr>
        <w:t>Odpowiedź:</w:t>
      </w:r>
    </w:p>
    <w:p w14:paraId="5FCE8B3C" w14:textId="77777777" w:rsidR="008A29D9" w:rsidRDefault="008A29D9" w:rsidP="008A29D9">
      <w:pPr>
        <w:ind w:left="360"/>
        <w:jc w:val="both"/>
        <w:rPr>
          <w:rFonts w:ascii="Verdana" w:hAnsi="Verdana"/>
          <w:b/>
          <w:bCs/>
          <w:color w:val="FF0000"/>
          <w:sz w:val="18"/>
          <w:szCs w:val="18"/>
        </w:rPr>
      </w:pPr>
      <w:r>
        <w:rPr>
          <w:rFonts w:ascii="Verdana" w:hAnsi="Verdana"/>
          <w:b/>
          <w:bCs/>
          <w:sz w:val="18"/>
          <w:szCs w:val="18"/>
        </w:rPr>
        <w:t xml:space="preserve">Zamawiający przewiduje składowanie zdemontowanego wyposażenia w obrębie remontowanych </w:t>
      </w:r>
      <w:proofErr w:type="spellStart"/>
      <w:r>
        <w:rPr>
          <w:rFonts w:ascii="Verdana" w:hAnsi="Verdana"/>
          <w:b/>
          <w:bCs/>
          <w:sz w:val="18"/>
          <w:szCs w:val="18"/>
        </w:rPr>
        <w:t>sal</w:t>
      </w:r>
      <w:proofErr w:type="spellEnd"/>
      <w:r>
        <w:rPr>
          <w:rFonts w:ascii="Verdana" w:hAnsi="Verdana"/>
          <w:b/>
          <w:bCs/>
          <w:sz w:val="18"/>
          <w:szCs w:val="18"/>
        </w:rPr>
        <w:t xml:space="preserve"> wykładowych i budynku D-10 (korytarze i sale wykładowe na niższych i wyższych kondygnacjach budynku).</w:t>
      </w:r>
    </w:p>
    <w:p w14:paraId="11C068C6" w14:textId="77777777" w:rsidR="008A29D9" w:rsidRDefault="008A29D9" w:rsidP="008A29D9">
      <w:pPr>
        <w:ind w:left="720"/>
        <w:jc w:val="both"/>
        <w:rPr>
          <w:rFonts w:ascii="Verdana" w:hAnsi="Verdana"/>
          <w:sz w:val="18"/>
          <w:szCs w:val="18"/>
        </w:rPr>
      </w:pPr>
    </w:p>
    <w:p w14:paraId="1D801D98" w14:textId="77777777" w:rsidR="008A29D9" w:rsidRDefault="008A29D9" w:rsidP="008A29D9">
      <w:pPr>
        <w:numPr>
          <w:ilvl w:val="0"/>
          <w:numId w:val="12"/>
        </w:numPr>
        <w:ind w:left="360"/>
        <w:jc w:val="both"/>
        <w:rPr>
          <w:rFonts w:ascii="Verdana" w:hAnsi="Verdana"/>
          <w:sz w:val="18"/>
          <w:szCs w:val="18"/>
        </w:rPr>
      </w:pPr>
      <w:r>
        <w:rPr>
          <w:rFonts w:ascii="Verdana" w:hAnsi="Verdana"/>
          <w:sz w:val="18"/>
          <w:szCs w:val="18"/>
        </w:rPr>
        <w:t>Projekt zakłada wymianę jedynie 5% okładziny i mechanizmów stołów demonstracyjnych. W trakcie wizji stwierdzono , że należy wymienić całość stołów ponieważ okładziny są w bardzo kiepskim stanie technicznym, są mocno popękane i odspajają się od konstrukcji. Wymiana samych okładzin i mechanizmów jest nieekonomiczna. Prosimy o informację czy należy przyjąć do wyceny wymianę całych stołów czy też może Zamawiający rezygnuje z tego zakresu. Jeżeli należy przewidzieć nowe stoły to prosimy o określenie materiału wykonania.</w:t>
      </w:r>
    </w:p>
    <w:p w14:paraId="56FC0365" w14:textId="77777777" w:rsidR="008A29D9" w:rsidRDefault="008A29D9" w:rsidP="008A29D9">
      <w:pPr>
        <w:ind w:firstLine="360"/>
        <w:jc w:val="both"/>
        <w:rPr>
          <w:rFonts w:ascii="Verdana" w:hAnsi="Verdana"/>
          <w:b/>
          <w:bCs/>
          <w:color w:val="FF0000"/>
          <w:sz w:val="18"/>
          <w:szCs w:val="18"/>
        </w:rPr>
      </w:pPr>
    </w:p>
    <w:p w14:paraId="1D1B15DB" w14:textId="77777777" w:rsidR="008A29D9" w:rsidRDefault="008A29D9" w:rsidP="008A29D9">
      <w:pPr>
        <w:ind w:left="360"/>
        <w:jc w:val="both"/>
        <w:rPr>
          <w:rFonts w:ascii="Verdana" w:hAnsi="Verdana"/>
          <w:b/>
          <w:bCs/>
          <w:color w:val="000000"/>
          <w:sz w:val="18"/>
          <w:szCs w:val="18"/>
        </w:rPr>
      </w:pPr>
      <w:r>
        <w:rPr>
          <w:rFonts w:ascii="Verdana" w:hAnsi="Verdana"/>
          <w:b/>
          <w:bCs/>
          <w:color w:val="000000"/>
          <w:sz w:val="18"/>
          <w:szCs w:val="18"/>
        </w:rPr>
        <w:t>Odpowiedź:</w:t>
      </w:r>
    </w:p>
    <w:p w14:paraId="33223612" w14:textId="77777777" w:rsidR="008A29D9" w:rsidRDefault="008A29D9" w:rsidP="008A29D9">
      <w:pPr>
        <w:ind w:left="360"/>
        <w:jc w:val="both"/>
        <w:rPr>
          <w:rFonts w:ascii="Verdana" w:hAnsi="Verdana"/>
          <w:b/>
          <w:bCs/>
          <w:sz w:val="18"/>
          <w:szCs w:val="18"/>
        </w:rPr>
      </w:pPr>
      <w:r>
        <w:rPr>
          <w:rFonts w:ascii="Verdana" w:hAnsi="Verdana"/>
          <w:b/>
          <w:bCs/>
          <w:sz w:val="18"/>
          <w:szCs w:val="18"/>
        </w:rPr>
        <w:t>Zamawiający informuje, że należy przyjąć do wyceny zakres zgodny z poniższym zestawieniem:</w:t>
      </w:r>
    </w:p>
    <w:p w14:paraId="42811D44" w14:textId="77777777" w:rsidR="008A29D9" w:rsidRDefault="008A29D9" w:rsidP="008A29D9">
      <w:pPr>
        <w:ind w:left="360"/>
        <w:jc w:val="both"/>
        <w:rPr>
          <w:rFonts w:ascii="Verdana" w:hAnsi="Verdana"/>
          <w:b/>
          <w:bCs/>
          <w:sz w:val="18"/>
          <w:szCs w:val="18"/>
        </w:rPr>
      </w:pPr>
      <w:r>
        <w:rPr>
          <w:rFonts w:ascii="Verdana" w:hAnsi="Verdana"/>
          <w:b/>
          <w:bCs/>
          <w:sz w:val="18"/>
          <w:szCs w:val="18"/>
        </w:rPr>
        <w:t>Aula nr 104 B:</w:t>
      </w:r>
    </w:p>
    <w:p w14:paraId="6E4C938A"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blatu na stole głównym – 1 szt., </w:t>
      </w:r>
    </w:p>
    <w:p w14:paraId="0AC50D2C"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ścian bocznych przy przejściu – 2 szt., </w:t>
      </w:r>
    </w:p>
    <w:p w14:paraId="44970429"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okleiny obrzeży na krawędziach pionowych niewymienianych ścianek – 6 szt., </w:t>
      </w:r>
    </w:p>
    <w:p w14:paraId="7087750E"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okleiny na listwach przypodłogowych od strony widowni – w niezbędnym zakresie – 1 </w:t>
      </w:r>
      <w:proofErr w:type="spellStart"/>
      <w:r>
        <w:rPr>
          <w:rFonts w:ascii="Verdana" w:hAnsi="Verdana"/>
          <w:b/>
          <w:bCs/>
          <w:sz w:val="18"/>
          <w:szCs w:val="18"/>
        </w:rPr>
        <w:t>kpl</w:t>
      </w:r>
      <w:proofErr w:type="spellEnd"/>
      <w:r>
        <w:rPr>
          <w:rFonts w:ascii="Verdana" w:hAnsi="Verdana"/>
          <w:b/>
          <w:bCs/>
          <w:sz w:val="18"/>
          <w:szCs w:val="18"/>
        </w:rPr>
        <w:t xml:space="preserve">. </w:t>
      </w:r>
    </w:p>
    <w:p w14:paraId="17A283F6" w14:textId="77777777" w:rsidR="008A29D9" w:rsidRDefault="008A29D9" w:rsidP="008A29D9">
      <w:pPr>
        <w:ind w:left="360"/>
        <w:jc w:val="both"/>
        <w:rPr>
          <w:rFonts w:ascii="Verdana" w:hAnsi="Verdana"/>
          <w:b/>
          <w:bCs/>
          <w:sz w:val="18"/>
          <w:szCs w:val="18"/>
        </w:rPr>
      </w:pPr>
      <w:r>
        <w:rPr>
          <w:rFonts w:ascii="Verdana" w:hAnsi="Verdana"/>
          <w:b/>
          <w:bCs/>
          <w:sz w:val="18"/>
          <w:szCs w:val="18"/>
        </w:rPr>
        <w:t>Aula nr 105 A:</w:t>
      </w:r>
    </w:p>
    <w:p w14:paraId="50AD412B"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blatu na stole głównym (bez stołów bocznych) – 1 szt., </w:t>
      </w:r>
    </w:p>
    <w:p w14:paraId="21A9EF6E"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ścian bocznych przy przejściu – 4 szt., </w:t>
      </w:r>
    </w:p>
    <w:p w14:paraId="0F531C84"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okleiny obrzeży na krawędziach pionowych niewymienianych ścianek – 12 szt., </w:t>
      </w:r>
    </w:p>
    <w:p w14:paraId="0279A75C"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wymiana okleiny na listwach przypodłogowych od strony widowni – w niezbędnym zakresie – 1 </w:t>
      </w:r>
      <w:proofErr w:type="spellStart"/>
      <w:r>
        <w:rPr>
          <w:rFonts w:ascii="Verdana" w:hAnsi="Verdana"/>
          <w:b/>
          <w:bCs/>
          <w:sz w:val="18"/>
          <w:szCs w:val="18"/>
        </w:rPr>
        <w:t>kpl</w:t>
      </w:r>
      <w:proofErr w:type="spellEnd"/>
      <w:r>
        <w:rPr>
          <w:rFonts w:ascii="Verdana" w:hAnsi="Verdana"/>
          <w:b/>
          <w:bCs/>
          <w:sz w:val="18"/>
          <w:szCs w:val="18"/>
        </w:rPr>
        <w:t xml:space="preserve">. </w:t>
      </w:r>
    </w:p>
    <w:p w14:paraId="101618C4" w14:textId="77777777" w:rsidR="008A29D9" w:rsidRDefault="008A29D9" w:rsidP="008A29D9">
      <w:pPr>
        <w:ind w:left="360"/>
        <w:jc w:val="both"/>
        <w:rPr>
          <w:rFonts w:ascii="Verdana" w:hAnsi="Verdana"/>
          <w:b/>
          <w:bCs/>
          <w:sz w:val="18"/>
          <w:szCs w:val="18"/>
        </w:rPr>
      </w:pPr>
      <w:r>
        <w:rPr>
          <w:rFonts w:ascii="Verdana" w:hAnsi="Verdana"/>
          <w:b/>
          <w:bCs/>
          <w:sz w:val="18"/>
          <w:szCs w:val="18"/>
        </w:rPr>
        <w:t>Kolorystykę okleiny oraz blatów należy dostosować do istniejących elementów wyposażenia.</w:t>
      </w:r>
    </w:p>
    <w:p w14:paraId="3AC0CE5A" w14:textId="77777777" w:rsidR="008A29D9" w:rsidRDefault="008A29D9" w:rsidP="008A29D9">
      <w:pPr>
        <w:ind w:left="360"/>
        <w:jc w:val="both"/>
        <w:rPr>
          <w:rFonts w:ascii="Verdana" w:hAnsi="Verdana"/>
          <w:b/>
          <w:bCs/>
          <w:sz w:val="18"/>
          <w:szCs w:val="18"/>
        </w:rPr>
      </w:pPr>
      <w:r>
        <w:rPr>
          <w:rFonts w:ascii="Verdana" w:hAnsi="Verdana"/>
          <w:b/>
          <w:bCs/>
          <w:sz w:val="18"/>
          <w:szCs w:val="18"/>
        </w:rPr>
        <w:lastRenderedPageBreak/>
        <w:t>Zastosowane obrzeża powinny być wykonane z materiałów o podwyższonej trwałości, odpornych na uszkodzenia mechaniczne i intensywne użytkowanie (np. obrzeża ABS o grubości min. 2 mm lub równoważne).</w:t>
      </w:r>
    </w:p>
    <w:p w14:paraId="11B9378D" w14:textId="77777777" w:rsidR="008A29D9" w:rsidRDefault="008A29D9" w:rsidP="008A29D9">
      <w:pPr>
        <w:ind w:left="360"/>
        <w:jc w:val="both"/>
        <w:rPr>
          <w:rFonts w:ascii="Verdana" w:hAnsi="Verdana"/>
          <w:b/>
          <w:bCs/>
          <w:sz w:val="18"/>
          <w:szCs w:val="18"/>
        </w:rPr>
      </w:pPr>
      <w:r>
        <w:rPr>
          <w:rFonts w:ascii="Verdana" w:hAnsi="Verdana"/>
          <w:b/>
          <w:bCs/>
          <w:sz w:val="18"/>
          <w:szCs w:val="18"/>
        </w:rPr>
        <w:t>Blaty należy wykonać z materiałów o podwyższonej trwałości i odporności na intensywne użytkowanie. Zaleca się zastosowanie płyt z powierzchnią wykończoną laminatem wysokociśnieniowym HPL o podwyższonej odporności na ścieranie, zarysowania i działanie czynników chemicznych.</w:t>
      </w:r>
    </w:p>
    <w:p w14:paraId="0994E26F" w14:textId="77777777" w:rsidR="008A29D9" w:rsidRDefault="008A29D9" w:rsidP="008A29D9">
      <w:pPr>
        <w:ind w:left="360"/>
        <w:jc w:val="both"/>
        <w:rPr>
          <w:rFonts w:ascii="Verdana" w:hAnsi="Verdana"/>
          <w:b/>
          <w:bCs/>
          <w:sz w:val="18"/>
          <w:szCs w:val="18"/>
        </w:rPr>
      </w:pPr>
      <w:r>
        <w:rPr>
          <w:rFonts w:ascii="Verdana" w:hAnsi="Verdana"/>
          <w:b/>
          <w:bCs/>
          <w:sz w:val="18"/>
          <w:szCs w:val="18"/>
        </w:rPr>
        <w:t>Dopuszcza się zastosowanie płyt laminowanych (LPL) wyłącznie w przypadku zapewnienia parametrów użytkowych nie gorszych niż dla HPL oraz po akceptacji Zamawiającego.</w:t>
      </w:r>
    </w:p>
    <w:p w14:paraId="2FBF775E" w14:textId="77777777" w:rsidR="008A29D9" w:rsidRDefault="008A29D9" w:rsidP="008A29D9">
      <w:pPr>
        <w:ind w:left="360"/>
        <w:jc w:val="both"/>
        <w:rPr>
          <w:rFonts w:ascii="Verdana" w:hAnsi="Verdana"/>
          <w:b/>
          <w:bCs/>
          <w:sz w:val="18"/>
          <w:szCs w:val="18"/>
        </w:rPr>
      </w:pPr>
      <w:r>
        <w:rPr>
          <w:rFonts w:ascii="Verdana" w:hAnsi="Verdana"/>
          <w:b/>
          <w:bCs/>
          <w:sz w:val="18"/>
          <w:szCs w:val="18"/>
        </w:rPr>
        <w:t>Powierzchnia blatów powinna spełniać wymagania w zakresie odporności na ścieranie nie niższe niż:</w:t>
      </w:r>
    </w:p>
    <w:p w14:paraId="5F533015"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klasa AC4 wg PN-EN 13329 (jako odniesienie trwałości), lub </w:t>
      </w:r>
    </w:p>
    <w:p w14:paraId="156874CA" w14:textId="77777777" w:rsidR="008A29D9" w:rsidRDefault="008A29D9" w:rsidP="008A29D9">
      <w:pPr>
        <w:ind w:left="360"/>
        <w:jc w:val="both"/>
        <w:rPr>
          <w:rFonts w:ascii="Verdana" w:hAnsi="Verdana"/>
          <w:b/>
          <w:bCs/>
          <w:sz w:val="18"/>
          <w:szCs w:val="18"/>
        </w:rPr>
      </w:pPr>
      <w:r>
        <w:rPr>
          <w:rFonts w:ascii="Verdana" w:hAnsi="Verdana"/>
          <w:b/>
          <w:bCs/>
          <w:sz w:val="18"/>
          <w:szCs w:val="18"/>
        </w:rPr>
        <w:t>•</w:t>
      </w:r>
      <w:r>
        <w:rPr>
          <w:rFonts w:ascii="Verdana" w:hAnsi="Verdana"/>
          <w:b/>
          <w:bCs/>
          <w:sz w:val="18"/>
          <w:szCs w:val="18"/>
        </w:rPr>
        <w:tab/>
        <w:t xml:space="preserve">≥ 3500 obrotów w teście </w:t>
      </w:r>
      <w:proofErr w:type="spellStart"/>
      <w:r>
        <w:rPr>
          <w:rFonts w:ascii="Verdana" w:hAnsi="Verdana"/>
          <w:b/>
          <w:bCs/>
          <w:sz w:val="18"/>
          <w:szCs w:val="18"/>
        </w:rPr>
        <w:t>Tabera</w:t>
      </w:r>
      <w:proofErr w:type="spellEnd"/>
      <w:r>
        <w:rPr>
          <w:rFonts w:ascii="Verdana" w:hAnsi="Verdana"/>
          <w:b/>
          <w:bCs/>
          <w:sz w:val="18"/>
          <w:szCs w:val="18"/>
        </w:rPr>
        <w:t xml:space="preserve"> wg PN-EN 438 (dla HPL), </w:t>
      </w:r>
    </w:p>
    <w:p w14:paraId="63553715" w14:textId="77777777" w:rsidR="008A29D9" w:rsidRDefault="008A29D9" w:rsidP="008A29D9">
      <w:pPr>
        <w:ind w:left="360"/>
        <w:jc w:val="both"/>
        <w:rPr>
          <w:rFonts w:ascii="Verdana" w:hAnsi="Verdana"/>
          <w:b/>
          <w:bCs/>
          <w:sz w:val="18"/>
          <w:szCs w:val="18"/>
        </w:rPr>
      </w:pPr>
      <w:r>
        <w:rPr>
          <w:rFonts w:ascii="Verdana" w:hAnsi="Verdana"/>
          <w:b/>
          <w:bCs/>
          <w:sz w:val="18"/>
          <w:szCs w:val="18"/>
        </w:rPr>
        <w:t xml:space="preserve">lub równoważne potwierdzone badaniami. </w:t>
      </w:r>
    </w:p>
    <w:p w14:paraId="572F0854" w14:textId="77777777" w:rsidR="008A29D9" w:rsidRDefault="008A29D9" w:rsidP="008A29D9">
      <w:pPr>
        <w:ind w:left="360"/>
        <w:jc w:val="both"/>
        <w:rPr>
          <w:rFonts w:ascii="Verdana" w:hAnsi="Verdana"/>
          <w:b/>
          <w:bCs/>
          <w:sz w:val="18"/>
          <w:szCs w:val="18"/>
        </w:rPr>
      </w:pPr>
      <w:r>
        <w:rPr>
          <w:rFonts w:ascii="Verdana" w:hAnsi="Verdana"/>
          <w:b/>
          <w:bCs/>
          <w:sz w:val="18"/>
          <w:szCs w:val="18"/>
        </w:rPr>
        <w:t>Jednocześnie informujemy, że nie należy przyjmować do wyceny wymiany całych stołów.</w:t>
      </w:r>
    </w:p>
    <w:p w14:paraId="425F6757" w14:textId="77777777" w:rsidR="008A29D9" w:rsidRDefault="008A29D9" w:rsidP="008A29D9">
      <w:pPr>
        <w:ind w:left="360"/>
        <w:jc w:val="both"/>
        <w:rPr>
          <w:rFonts w:ascii="Verdana" w:hAnsi="Verdana"/>
          <w:b/>
          <w:bCs/>
          <w:sz w:val="18"/>
          <w:szCs w:val="18"/>
        </w:rPr>
      </w:pPr>
    </w:p>
    <w:p w14:paraId="610C52DD" w14:textId="77777777" w:rsidR="008A29D9" w:rsidRDefault="008A29D9" w:rsidP="008A29D9">
      <w:pPr>
        <w:numPr>
          <w:ilvl w:val="0"/>
          <w:numId w:val="12"/>
        </w:numPr>
        <w:ind w:left="360"/>
        <w:jc w:val="both"/>
        <w:rPr>
          <w:rFonts w:ascii="Verdana" w:hAnsi="Verdana"/>
          <w:sz w:val="18"/>
          <w:szCs w:val="18"/>
        </w:rPr>
      </w:pPr>
      <w:r>
        <w:rPr>
          <w:rFonts w:ascii="Verdana" w:hAnsi="Verdana"/>
          <w:sz w:val="18"/>
          <w:szCs w:val="18"/>
        </w:rPr>
        <w:t>Zgodnie z projektem należy wymienić część płyt sufitu podwieszonego na obu salach. Prosimy o określenie obmiaru płyt do wymiany.</w:t>
      </w:r>
    </w:p>
    <w:p w14:paraId="30D3D575" w14:textId="77777777" w:rsidR="008A29D9" w:rsidRDefault="008A29D9" w:rsidP="008A29D9">
      <w:pPr>
        <w:ind w:firstLine="360"/>
        <w:jc w:val="both"/>
        <w:rPr>
          <w:rFonts w:ascii="Verdana" w:hAnsi="Verdana"/>
          <w:b/>
          <w:bCs/>
          <w:sz w:val="18"/>
          <w:szCs w:val="18"/>
        </w:rPr>
      </w:pPr>
    </w:p>
    <w:p w14:paraId="49B0B5EE" w14:textId="77777777" w:rsidR="008A29D9" w:rsidRDefault="008A29D9" w:rsidP="008A29D9">
      <w:pPr>
        <w:ind w:left="360"/>
        <w:jc w:val="both"/>
        <w:rPr>
          <w:rFonts w:ascii="Verdana" w:hAnsi="Verdana"/>
          <w:b/>
          <w:bCs/>
          <w:color w:val="000000"/>
          <w:sz w:val="18"/>
          <w:szCs w:val="18"/>
        </w:rPr>
      </w:pPr>
      <w:r>
        <w:rPr>
          <w:rFonts w:ascii="Verdana" w:hAnsi="Verdana"/>
          <w:b/>
          <w:bCs/>
          <w:color w:val="000000"/>
          <w:sz w:val="18"/>
          <w:szCs w:val="18"/>
        </w:rPr>
        <w:t>Odpowiedź:</w:t>
      </w:r>
    </w:p>
    <w:p w14:paraId="1B404FCB" w14:textId="77777777" w:rsidR="008A29D9" w:rsidRDefault="008A29D9" w:rsidP="008A29D9">
      <w:pPr>
        <w:ind w:left="360"/>
        <w:jc w:val="both"/>
        <w:rPr>
          <w:rFonts w:ascii="Verdana" w:hAnsi="Verdana"/>
          <w:b/>
          <w:bCs/>
          <w:sz w:val="18"/>
          <w:szCs w:val="18"/>
        </w:rPr>
      </w:pPr>
      <w:r>
        <w:rPr>
          <w:rFonts w:ascii="Verdana" w:hAnsi="Verdana"/>
          <w:b/>
          <w:bCs/>
          <w:sz w:val="18"/>
          <w:szCs w:val="18"/>
        </w:rPr>
        <w:t>Do wyceny należy przyjąć wymianę płyt sufitu podwieszonego w następujących ilościach :</w:t>
      </w:r>
    </w:p>
    <w:p w14:paraId="0D41DA8B" w14:textId="77777777" w:rsidR="008A29D9" w:rsidRDefault="008A29D9" w:rsidP="008A29D9">
      <w:pPr>
        <w:numPr>
          <w:ilvl w:val="0"/>
          <w:numId w:val="13"/>
        </w:numPr>
        <w:jc w:val="both"/>
        <w:rPr>
          <w:rFonts w:ascii="Verdana" w:hAnsi="Verdana"/>
          <w:b/>
          <w:bCs/>
          <w:sz w:val="18"/>
          <w:szCs w:val="18"/>
        </w:rPr>
      </w:pPr>
      <w:r>
        <w:rPr>
          <w:rFonts w:ascii="Verdana" w:hAnsi="Verdana"/>
          <w:b/>
          <w:bCs/>
          <w:sz w:val="18"/>
          <w:szCs w:val="18"/>
        </w:rPr>
        <w:t xml:space="preserve">Aula nr 104 B - 13,50 m² </w:t>
      </w:r>
    </w:p>
    <w:p w14:paraId="3269B806" w14:textId="77777777" w:rsidR="008A29D9" w:rsidRDefault="008A29D9" w:rsidP="008A29D9">
      <w:pPr>
        <w:numPr>
          <w:ilvl w:val="0"/>
          <w:numId w:val="13"/>
        </w:numPr>
        <w:jc w:val="both"/>
        <w:rPr>
          <w:rFonts w:ascii="Verdana" w:hAnsi="Verdana"/>
          <w:b/>
          <w:bCs/>
          <w:sz w:val="18"/>
          <w:szCs w:val="18"/>
        </w:rPr>
      </w:pPr>
      <w:r>
        <w:rPr>
          <w:rFonts w:ascii="Verdana" w:hAnsi="Verdana"/>
          <w:b/>
          <w:bCs/>
          <w:sz w:val="18"/>
          <w:szCs w:val="18"/>
        </w:rPr>
        <w:t>Aula nr 105 A - 17,85 m²</w:t>
      </w:r>
    </w:p>
    <w:p w14:paraId="1CC59A7E" w14:textId="77777777" w:rsidR="008A29D9" w:rsidRDefault="008A29D9" w:rsidP="008A29D9">
      <w:pPr>
        <w:ind w:left="720"/>
        <w:jc w:val="both"/>
        <w:rPr>
          <w:rFonts w:ascii="Verdana" w:hAnsi="Verdana"/>
          <w:sz w:val="18"/>
          <w:szCs w:val="18"/>
        </w:rPr>
      </w:pPr>
    </w:p>
    <w:p w14:paraId="63C4A538" w14:textId="77777777" w:rsidR="008A29D9" w:rsidRDefault="008A29D9" w:rsidP="008A29D9">
      <w:pPr>
        <w:numPr>
          <w:ilvl w:val="0"/>
          <w:numId w:val="12"/>
        </w:numPr>
        <w:ind w:left="360"/>
        <w:jc w:val="both"/>
        <w:rPr>
          <w:rFonts w:ascii="Verdana" w:hAnsi="Verdana"/>
          <w:sz w:val="18"/>
          <w:szCs w:val="18"/>
        </w:rPr>
      </w:pPr>
      <w:r>
        <w:rPr>
          <w:rFonts w:ascii="Verdana" w:hAnsi="Verdana"/>
          <w:sz w:val="18"/>
          <w:szCs w:val="18"/>
        </w:rPr>
        <w:t xml:space="preserve">Wpisane w dokumentacji projektowej (w części dotyczącej instalacji elektrycznych, instalacja AV, załącznik nr 1 – Minimalne parametry urządzeń AV), parametry urządzeń instalacji AV są tak szczegółowe, iż implikują tylko jeden zestaw produktów, jednego producenta w danej kategorii urządzeń, dostępnych u konkretnych producentów/dostawców ze wskazaniem na urządzenia tych producentów. Przyjęte w dokumentacji projektowej podstawowe dane techniczne urządzeń nie tylko eliminują rozwiązania innych producentów, ale są nieadekwatne i nieproporcjonalne. Stosowanie rozwiązań technicznych, których wymagania spełnia tylko jeden producent stanowi naruszenie zasady uczciwej konkurencji oraz rażąco narusza zasady prawidłowego opisu przedmiotu zamówienia zawarte w art. 99 ustawy o PZP. Przedmiotu zamówienia nie można bowiem opisywać w sposób, który mógłby utrudniać uczciwą konkurencję oraz w prowadzący do uprzywilejowania lub wyeliminowania niektórych wykonawców lub dostawców. Tezy te wielokrotnie powtórzyła Krajowa Izba Odwoławcza. Tytułem przykładu wskazać należy na: - wyrok KIO 759/23 z dnia 31 marca 2023 roku: "Swoboda zamawiającego w określeniu produktów, które chce zakupić, jest jednak ograniczona koniecznością zachowania w postępowaniu uczciwej konkurencji. Z jednej strony oczywistym jest, że określenie wymagań dotyczących przedmiotu zamówienia należy do zamawiającego, który jest gospodarzem postępowania i przyszłym nabywcą określonych towarów czy usług, a konieczności zachowania uczciwej konkurencji nie można utożsamiać z nakazem umożliwienia złożenia oferty przez jak najszerszy krąg wykonawców, w oderwaniu od potrzeb zamawiającego. Z drugiej jednak strony niedopuszczalne jest takie opisanie przedmiotu zamówienia, które ogranicza możliwość złożenia ofert, a które nie jest konieczne dla zaspokojenia racjonalnych i obiektywnie uzasadnionych potrzeb zamawiającego. Zamawiający, opisując przedmiot zamówienia w sposób eliminujący funkcjonujące na rynku rozwiązania, musi więc być w stanie przedstawić racjonale i przekonujące wyjaśnienia takiego działania" - wyrok KIO 1415/22 z dnia 10 czerwca 2022 roku: "Istotą zamówień publicznych jest stworzenia transparentnego, jasnego i przejrzystego modelu gospodarowania środkami publicznymi. Zamawiający w ramach zamówień publicznych nie rozporządzają własnym mieniem, wedle własnych osobistych preferencji czy powiazań, ale mieniem publicznym. Ustawodawca wyraźnie wskazuje, iż takie dysponowanie mieniem publicznymi, środkami publicznymi powinno mieć na celu dążenie do uzyskania zamówienia reprezentującego najlepszy możliwy stosunek jakości do ceny z perspektywy zaspokojenia potrzeb leżących w interesie publicznym (lokalnym). Konieczne jest przy tym zapewnienie, aby przy zaspokajaniu owych potrzeb publicznych zachowana była zasada wolności gospodarczej i możliwości dostępu do wykonywania zadań publicznych na niedyskryminacyjnych warunkach przez przedsiębiorców działających na rynku. Nie ulega również wątpliwości, że zamawiający może dopasować zamówienie do swoich obiektywnych potrzeb, ale te obiektywne potrzeby czy wymagania nie mogą sprowadzać się do </w:t>
      </w:r>
      <w:r>
        <w:rPr>
          <w:rFonts w:ascii="Verdana" w:hAnsi="Verdana"/>
          <w:sz w:val="18"/>
          <w:szCs w:val="18"/>
        </w:rPr>
        <w:lastRenderedPageBreak/>
        <w:t xml:space="preserve">określenia parametrów, które wskazują na jeden konkretny produkt. Potrzeby mogą powodować, że liczba wykonawców zdolnych do wykonania zamówienia będzie ograniczona. Fakt, że na rynku występują wykonawcy nieprodukujący danego przedmiotu zamówienia, lub dla których jego realizacja jest utrudniona czy nieopłacalna, nie przesądza wcale o możliwości powstania naruszenia zasady uczciwej konkurencji. Dla stwierdzenia takiego naruszenia niezbędne jest zbadanie i ocena co najmniej kilku okoliczności związanych z danym zamówieniem, w szczególności takich jak: kształt rynku, którego zamówienie dotyczy oraz skutków ograniczenia konkurencji dla ilości potencjalnych wykonawców mogących ubiegać się o uzyskanie zamówienia, i z drugiej strony waga potrzeb zamawiającego, których realizacji takie ograniczenie służy." Jednocześnie zwracamy uwagę, iż przejawem naruszenia zasady uczciwej konkurencji jest nie tylko opisanie przedmiotu zamówienia z użyciem oznaczeń wskazujących na konkretnego producenta lub konkretny produkt albo z użyciem parametrów wskazujących na konkretnego producenta, dostawcę albo konkretny wyrób, ale także określenie na tyle rygorystycznych wymagań co do parametrów technicznych, które nie są uzasadnione obiektywnymi potrzebami zamawiającego i które uniemożliwiają udział niektórych wykonawcom w postępowaniu, ograniczając w ten sposób krąg podmiotów zdolnych do wykonania zamówienia. Pomieszczenia </w:t>
      </w:r>
      <w:proofErr w:type="spellStart"/>
      <w:r>
        <w:rPr>
          <w:rFonts w:ascii="Verdana" w:hAnsi="Verdana"/>
          <w:sz w:val="18"/>
          <w:szCs w:val="18"/>
        </w:rPr>
        <w:t>sal</w:t>
      </w:r>
      <w:proofErr w:type="spellEnd"/>
      <w:r>
        <w:rPr>
          <w:rFonts w:ascii="Verdana" w:hAnsi="Verdana"/>
          <w:sz w:val="18"/>
          <w:szCs w:val="18"/>
        </w:rPr>
        <w:t xml:space="preserve"> wykładowych A nr 105 i B nr 104 w pawilonie D10 na terenie AGH w Krakowie, nie stanowią wyjątku w stosunku do pozostałych tego typu obiektów w Polsce i utworzony zestaw parametrów technicznych urządzeń nie jest w żaden sposób uwarunkowane obiektywnymi potrzebami Zamawiającego. Wymagana przez Zamawiającego funkcjonalność instalacji AV została szczegółowo i wystarczająco opisana w dokumentacji projektowej m.in. w pkt 3.14 – Instalacja AV Wspomniany załącznik nr 1 – Minimalne parametry urządzeń AV, nie stanowi jej uzupełnienia, a jedynie ma na celu utrudnić uczciwą konkurencję. Prosimy o wprowadzenie zmian w dokumentacji i tym samym umożliwienie złożenia oferty na rozwiązaniach innych producentów poprzez usunięcie z dokumentacji projektowej w całości załącznika nr 1 – Minimalne parametry urządzeń AV. Prosimy również o dodanie następującej treści do pkt 3.14 – Instalacja AV, podpunkt „System Sterowania”: „W przypadku zaproponowania systemu sterowania innego producenta, Wykonawca będzie zobowiązany do dostarczenia systemu sterowania kompatybilnego z elementami wykonawczymi oświetlenia oraz zainstalowanymi klawiaturami sterującymi lub wymiany elementów wykonawczych oświetlenia oraz klawiatur sterujących na nowe elementy, kompatybilne z systemem sterowania.” W przypadku braku zgody na usunięcie z dokumentacji załącznika nr 1 – Minimalne parametry urządzeń AV oraz braku zgody na zmianę treści pkt. 3.14 – Instalacja AV, prosimy o wskazanie co najmniej dwóch producentów oferujących produkty spełniające wszystkie wymagania opisane w załączniku nr 1 – Minimalne parametry urządzeń AV dla każdej z 32 kategorii opisanych urządzeń. W tym przypadku prosimy również o merytoryczne uzasadnienie obiektywnymi potrzebami Zamawiającego wszystkich parametrów zawartych w załączniku nr 1 – Minimalne parametry urządzeń AV.</w:t>
      </w:r>
    </w:p>
    <w:p w14:paraId="0A034032" w14:textId="77777777" w:rsidR="008A29D9" w:rsidRDefault="008A29D9" w:rsidP="008A29D9">
      <w:pPr>
        <w:pStyle w:val="Akapitzlist"/>
        <w:ind w:left="360"/>
        <w:jc w:val="both"/>
        <w:rPr>
          <w:rFonts w:ascii="Verdana" w:hAnsi="Verdana"/>
          <w:b/>
          <w:bCs/>
          <w:color w:val="000000"/>
          <w:sz w:val="18"/>
          <w:szCs w:val="18"/>
        </w:rPr>
      </w:pPr>
    </w:p>
    <w:p w14:paraId="39C27264" w14:textId="77777777" w:rsidR="008A29D9" w:rsidRDefault="008A29D9" w:rsidP="008A29D9">
      <w:pPr>
        <w:pStyle w:val="Akapitzlist"/>
        <w:ind w:left="360"/>
        <w:jc w:val="both"/>
        <w:rPr>
          <w:rFonts w:ascii="Verdana" w:hAnsi="Verdana"/>
          <w:b/>
          <w:bCs/>
          <w:color w:val="000000"/>
          <w:sz w:val="18"/>
          <w:szCs w:val="18"/>
        </w:rPr>
      </w:pPr>
      <w:r>
        <w:rPr>
          <w:rFonts w:ascii="Verdana" w:hAnsi="Verdana"/>
          <w:b/>
          <w:bCs/>
          <w:color w:val="000000"/>
          <w:sz w:val="18"/>
          <w:szCs w:val="18"/>
        </w:rPr>
        <w:t>Odpowiedź:</w:t>
      </w:r>
    </w:p>
    <w:p w14:paraId="73AB30F4" w14:textId="77777777" w:rsidR="008A29D9" w:rsidRDefault="008A29D9" w:rsidP="008A29D9">
      <w:pPr>
        <w:pStyle w:val="Akapitzlist"/>
        <w:ind w:left="360"/>
        <w:jc w:val="both"/>
        <w:rPr>
          <w:rFonts w:ascii="Verdana" w:hAnsi="Verdana"/>
          <w:b/>
          <w:bCs/>
          <w:color w:val="000000"/>
          <w:sz w:val="18"/>
          <w:szCs w:val="18"/>
        </w:rPr>
      </w:pPr>
    </w:p>
    <w:p w14:paraId="0981FD8D"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 xml:space="preserve">Zamawiający wskazuje, że dokumentacja postępowania, w tym załącznik nr 1 – Minimalne parametry urządzeń AV, została opracowana w oparciu o rzeczywiste, obiektywnie uzasadnione potrzeby Zamawiającego, wynikające zarówno ze specyfiki użytkowej projektowanych </w:t>
      </w:r>
      <w:proofErr w:type="spellStart"/>
      <w:r>
        <w:rPr>
          <w:rFonts w:ascii="Verdana" w:hAnsi="Verdana" w:cs="Segoe UI"/>
          <w:b/>
          <w:bCs/>
          <w:sz w:val="18"/>
          <w:szCs w:val="18"/>
        </w:rPr>
        <w:t>sal</w:t>
      </w:r>
      <w:proofErr w:type="spellEnd"/>
      <w:r>
        <w:rPr>
          <w:rFonts w:ascii="Verdana" w:hAnsi="Verdana" w:cs="Segoe UI"/>
          <w:b/>
          <w:bCs/>
          <w:sz w:val="18"/>
          <w:szCs w:val="18"/>
        </w:rPr>
        <w:t xml:space="preserve"> wykładowych, jak i z konieczności zachowania kompatybilności z istniejącą infrastrukturą techniczną Zamawiającego.</w:t>
      </w:r>
    </w:p>
    <w:p w14:paraId="5AE8B5E8"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Określone w dokumentacji parametry techniczne i funkcjonalne urządzeń stanowią minimalne wymagania, których spełnienie jest niezbędne dla zapewnienia:</w:t>
      </w:r>
    </w:p>
    <w:p w14:paraId="2C975B27"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prawidłowej realizacji funkcji dydaktycznych i prezentacyjnych,</w:t>
      </w:r>
    </w:p>
    <w:p w14:paraId="4590A0CA"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odpowiedniej jakości obrazu i dźwięku,</w:t>
      </w:r>
    </w:p>
    <w:p w14:paraId="58753302"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niezawodności oraz ciągłości pracy systemu,</w:t>
      </w:r>
    </w:p>
    <w:p w14:paraId="2332B476"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bezpieczeństwa i komfortu użytkowników,</w:t>
      </w:r>
    </w:p>
    <w:p w14:paraId="6B41D973"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spójności technicznej z istniejącym środowiskiem AV i systemem sterowania,</w:t>
      </w:r>
    </w:p>
    <w:p w14:paraId="583FEEA9" w14:textId="77777777" w:rsidR="008A29D9" w:rsidRDefault="008A29D9" w:rsidP="008A29D9">
      <w:pPr>
        <w:numPr>
          <w:ilvl w:val="0"/>
          <w:numId w:val="14"/>
        </w:numPr>
        <w:spacing w:line="300" w:lineRule="atLeast"/>
        <w:jc w:val="both"/>
        <w:rPr>
          <w:rFonts w:ascii="Verdana" w:hAnsi="Verdana" w:cs="Segoe UI"/>
          <w:b/>
          <w:bCs/>
          <w:sz w:val="18"/>
          <w:szCs w:val="18"/>
        </w:rPr>
      </w:pPr>
      <w:r>
        <w:rPr>
          <w:rFonts w:ascii="Verdana" w:hAnsi="Verdana" w:cs="Segoe UI"/>
          <w:b/>
          <w:bCs/>
          <w:sz w:val="18"/>
          <w:szCs w:val="18"/>
        </w:rPr>
        <w:t>efektywności eksploatacyjnej oraz racjonalnych kosztów utrzymania infrastruktury.</w:t>
      </w:r>
    </w:p>
    <w:p w14:paraId="27B3BA2A"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 xml:space="preserve">Zamawiający podkreśla, że opis przedmiotu zamówienia został sformułowany w sposób proporcjonalny do zamierzonych celów i rzeczywistych potrzeb, a przyjęte wymagania </w:t>
      </w:r>
      <w:r>
        <w:rPr>
          <w:rFonts w:ascii="Verdana" w:hAnsi="Verdana" w:cs="Segoe UI"/>
          <w:b/>
          <w:bCs/>
          <w:sz w:val="18"/>
          <w:szCs w:val="18"/>
        </w:rPr>
        <w:lastRenderedPageBreak/>
        <w:t>nie mają na celu ograniczenia konkurencji, lecz wyznaczenie minimalnego standardu technicznego umożliwiającego osiągnięcie zakładanych efektów użytkowych.</w:t>
      </w:r>
    </w:p>
    <w:p w14:paraId="34F99EE5"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Jednocześnie Zamawiający wskazuje, że wymagania zawarte w załączniku nr 1 nie implikują wyłącznie jednego producenta. Na rynku dostępni są co najmniej dwaj niezależni producenci, oferujący rozwiązania spełniające opisane wymagania techniczne i funkcjonalne (lub rozwiązania równoważne), w szczególności:</w:t>
      </w:r>
    </w:p>
    <w:p w14:paraId="67519586" w14:textId="77777777" w:rsidR="008A29D9" w:rsidRDefault="008A29D9" w:rsidP="008A29D9">
      <w:pPr>
        <w:numPr>
          <w:ilvl w:val="0"/>
          <w:numId w:val="15"/>
        </w:numPr>
        <w:spacing w:line="300" w:lineRule="atLeast"/>
        <w:jc w:val="both"/>
        <w:rPr>
          <w:rFonts w:ascii="Verdana" w:hAnsi="Verdana" w:cs="Segoe UI"/>
          <w:b/>
          <w:bCs/>
          <w:sz w:val="18"/>
          <w:szCs w:val="18"/>
        </w:rPr>
      </w:pPr>
      <w:proofErr w:type="spellStart"/>
      <w:r>
        <w:rPr>
          <w:rFonts w:ascii="Verdana" w:hAnsi="Verdana" w:cs="Segoe UI"/>
          <w:b/>
          <w:bCs/>
          <w:sz w:val="18"/>
          <w:szCs w:val="18"/>
        </w:rPr>
        <w:t>Crestron</w:t>
      </w:r>
      <w:proofErr w:type="spellEnd"/>
      <w:r>
        <w:rPr>
          <w:rFonts w:ascii="Verdana" w:hAnsi="Verdana" w:cs="Segoe UI"/>
          <w:b/>
          <w:bCs/>
          <w:sz w:val="18"/>
          <w:szCs w:val="18"/>
        </w:rPr>
        <w:t xml:space="preserve"> Electronics – producent oferujący kompleksowe rozwiązania AV, w tym systemy </w:t>
      </w:r>
      <w:proofErr w:type="spellStart"/>
      <w:r>
        <w:rPr>
          <w:rFonts w:ascii="Verdana" w:hAnsi="Verdana" w:cs="Segoe UI"/>
          <w:b/>
          <w:bCs/>
          <w:sz w:val="18"/>
          <w:szCs w:val="18"/>
        </w:rPr>
        <w:t>AVoIP</w:t>
      </w:r>
      <w:proofErr w:type="spellEnd"/>
      <w:r>
        <w:rPr>
          <w:rFonts w:ascii="Verdana" w:hAnsi="Verdana" w:cs="Segoe UI"/>
          <w:b/>
          <w:bCs/>
          <w:sz w:val="18"/>
          <w:szCs w:val="18"/>
        </w:rPr>
        <w:t xml:space="preserve"> (DM NVX – </w:t>
      </w:r>
      <w:proofErr w:type="spellStart"/>
      <w:r>
        <w:rPr>
          <w:rFonts w:ascii="Verdana" w:hAnsi="Verdana" w:cs="Segoe UI"/>
          <w:b/>
          <w:bCs/>
          <w:sz w:val="18"/>
          <w:szCs w:val="18"/>
        </w:rPr>
        <w:t>enkodery</w:t>
      </w:r>
      <w:proofErr w:type="spellEnd"/>
      <w:r>
        <w:rPr>
          <w:rFonts w:ascii="Verdana" w:hAnsi="Verdana" w:cs="Segoe UI"/>
          <w:b/>
          <w:bCs/>
          <w:sz w:val="18"/>
          <w:szCs w:val="18"/>
        </w:rPr>
        <w:t xml:space="preserve">/dekodery 4K60 4:4:4, HDR, HDCP, szyfrowanie AES), systemy sterowania AV i oświetleniem (procesory sterujące, panele stołowe i mobilne, moduły DIN), integrację z </w:t>
      </w:r>
      <w:proofErr w:type="spellStart"/>
      <w:r>
        <w:rPr>
          <w:rFonts w:ascii="Verdana" w:hAnsi="Verdana" w:cs="Segoe UI"/>
          <w:b/>
          <w:bCs/>
          <w:sz w:val="18"/>
          <w:szCs w:val="18"/>
        </w:rPr>
        <w:t>BACnet</w:t>
      </w:r>
      <w:proofErr w:type="spellEnd"/>
      <w:r>
        <w:rPr>
          <w:rFonts w:ascii="Verdana" w:hAnsi="Verdana" w:cs="Segoe UI"/>
          <w:b/>
          <w:bCs/>
          <w:sz w:val="18"/>
          <w:szCs w:val="18"/>
        </w:rPr>
        <w:t xml:space="preserve">/IP, IPv6, DALI, dedykowane przełączniki sieciowe dla </w:t>
      </w:r>
      <w:proofErr w:type="spellStart"/>
      <w:r>
        <w:rPr>
          <w:rFonts w:ascii="Verdana" w:hAnsi="Verdana" w:cs="Segoe UI"/>
          <w:b/>
          <w:bCs/>
          <w:sz w:val="18"/>
          <w:szCs w:val="18"/>
        </w:rPr>
        <w:t>AVoIP</w:t>
      </w:r>
      <w:proofErr w:type="spellEnd"/>
      <w:r>
        <w:rPr>
          <w:rFonts w:ascii="Verdana" w:hAnsi="Verdana" w:cs="Segoe UI"/>
          <w:b/>
          <w:bCs/>
          <w:sz w:val="18"/>
          <w:szCs w:val="18"/>
        </w:rPr>
        <w:t xml:space="preserve">, panele dotykowe </w:t>
      </w:r>
      <w:proofErr w:type="spellStart"/>
      <w:r>
        <w:rPr>
          <w:rFonts w:ascii="Verdana" w:hAnsi="Verdana" w:cs="Segoe UI"/>
          <w:b/>
          <w:bCs/>
          <w:sz w:val="18"/>
          <w:szCs w:val="18"/>
        </w:rPr>
        <w:t>PoE</w:t>
      </w:r>
      <w:proofErr w:type="spellEnd"/>
      <w:r>
        <w:rPr>
          <w:rFonts w:ascii="Verdana" w:hAnsi="Verdana" w:cs="Segoe UI"/>
          <w:b/>
          <w:bCs/>
          <w:sz w:val="18"/>
          <w:szCs w:val="18"/>
        </w:rPr>
        <w:t>, a także integrację z DANTE, SSP oraz systemami uczelnianymi. Rozwiązania tego producenta stanowią jeden z rynkowych standardów wykorzystywanych w projektach modernizacji istniejących systemów AV.</w:t>
      </w:r>
    </w:p>
    <w:p w14:paraId="3FE229D2" w14:textId="77777777" w:rsidR="008A29D9" w:rsidRDefault="008A29D9" w:rsidP="008A29D9">
      <w:pPr>
        <w:numPr>
          <w:ilvl w:val="0"/>
          <w:numId w:val="15"/>
        </w:numPr>
        <w:spacing w:line="300" w:lineRule="atLeast"/>
        <w:jc w:val="both"/>
        <w:rPr>
          <w:rFonts w:ascii="Verdana" w:hAnsi="Verdana" w:cs="Segoe UI"/>
          <w:b/>
          <w:bCs/>
          <w:sz w:val="18"/>
          <w:szCs w:val="18"/>
        </w:rPr>
      </w:pPr>
      <w:proofErr w:type="spellStart"/>
      <w:r>
        <w:rPr>
          <w:rFonts w:ascii="Verdana" w:hAnsi="Verdana" w:cs="Segoe UI"/>
          <w:b/>
          <w:bCs/>
          <w:sz w:val="18"/>
          <w:szCs w:val="18"/>
        </w:rPr>
        <w:t>Extron</w:t>
      </w:r>
      <w:proofErr w:type="spellEnd"/>
      <w:r>
        <w:rPr>
          <w:rFonts w:ascii="Verdana" w:hAnsi="Verdana" w:cs="Segoe UI"/>
          <w:b/>
          <w:bCs/>
          <w:sz w:val="18"/>
          <w:szCs w:val="18"/>
        </w:rPr>
        <w:t xml:space="preserve"> Electronics – producent konkurencyjny względem </w:t>
      </w:r>
      <w:proofErr w:type="spellStart"/>
      <w:r>
        <w:rPr>
          <w:rFonts w:ascii="Verdana" w:hAnsi="Verdana" w:cs="Segoe UI"/>
          <w:b/>
          <w:bCs/>
          <w:sz w:val="18"/>
          <w:szCs w:val="18"/>
        </w:rPr>
        <w:t>Crestron</w:t>
      </w:r>
      <w:proofErr w:type="spellEnd"/>
      <w:r>
        <w:rPr>
          <w:rFonts w:ascii="Verdana" w:hAnsi="Verdana" w:cs="Segoe UI"/>
          <w:b/>
          <w:bCs/>
          <w:sz w:val="18"/>
          <w:szCs w:val="18"/>
        </w:rPr>
        <w:t xml:space="preserve">, oferujący analogiczne rozwiązania, w tym systemy </w:t>
      </w:r>
      <w:proofErr w:type="spellStart"/>
      <w:r>
        <w:rPr>
          <w:rFonts w:ascii="Verdana" w:hAnsi="Verdana" w:cs="Segoe UI"/>
          <w:b/>
          <w:bCs/>
          <w:sz w:val="18"/>
          <w:szCs w:val="18"/>
        </w:rPr>
        <w:t>AVoIP</w:t>
      </w:r>
      <w:proofErr w:type="spellEnd"/>
      <w:r>
        <w:rPr>
          <w:rFonts w:ascii="Verdana" w:hAnsi="Verdana" w:cs="Segoe UI"/>
          <w:b/>
          <w:bCs/>
          <w:sz w:val="18"/>
          <w:szCs w:val="18"/>
        </w:rPr>
        <w:t xml:space="preserve"> (seria NAV – </w:t>
      </w:r>
      <w:proofErr w:type="spellStart"/>
      <w:r>
        <w:rPr>
          <w:rFonts w:ascii="Verdana" w:hAnsi="Verdana" w:cs="Segoe UI"/>
          <w:b/>
          <w:bCs/>
          <w:sz w:val="18"/>
          <w:szCs w:val="18"/>
        </w:rPr>
        <w:t>enkodery</w:t>
      </w:r>
      <w:proofErr w:type="spellEnd"/>
      <w:r>
        <w:rPr>
          <w:rFonts w:ascii="Verdana" w:hAnsi="Verdana" w:cs="Segoe UI"/>
          <w:b/>
          <w:bCs/>
          <w:sz w:val="18"/>
          <w:szCs w:val="18"/>
        </w:rPr>
        <w:t>/dekodery 4K60 4:4:4, HDR, HDCP), procesory sterujące AV, panele użytkownika, systemy sterowania kompatybilne z instalacjami budynkowymi, urządzenia audio DSP z integracją DANTE, przełączniki sieciowe i akcesoria dedykowane systemom AV oraz szeroką gamę konwerterów sygnałów (HDMI/USB/VGA/SDI).</w:t>
      </w:r>
    </w:p>
    <w:p w14:paraId="626B2598"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Powyższe potwierdza, że opisane w dokumentacji wymagania nie ograniczają się do jednego producenta, a ich spełnienie jest możliwe przy zastosowaniu rozwiązań co najmniej dwóch niezależnych producentów funkcjonujących na rynku profesjonalnych systemów AV.</w:t>
      </w:r>
    </w:p>
    <w:p w14:paraId="438E1CEC"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 xml:space="preserve">Zamawiający jednocześnie wyjaśnia, że posiada i eksploatuje sprawne technicznie urządzenia AV oraz elementy systemu sterowania, w tym moduły sterowania oświetleniem marki </w:t>
      </w:r>
      <w:proofErr w:type="spellStart"/>
      <w:r>
        <w:rPr>
          <w:rFonts w:ascii="Verdana" w:hAnsi="Verdana" w:cs="Segoe UI"/>
          <w:b/>
          <w:bCs/>
          <w:sz w:val="18"/>
          <w:szCs w:val="18"/>
        </w:rPr>
        <w:t>Crestron</w:t>
      </w:r>
      <w:proofErr w:type="spellEnd"/>
      <w:r>
        <w:rPr>
          <w:rFonts w:ascii="Verdana" w:hAnsi="Verdana" w:cs="Segoe UI"/>
          <w:b/>
          <w:bCs/>
          <w:sz w:val="18"/>
          <w:szCs w:val="18"/>
        </w:rPr>
        <w:t>, które komunikują się wyłącznie za pośrednictwem dedykowanej magistrali systemowej. Z uwagi na zastosowaną technologię, sterowanie tymi urządzeniami jest możliwe wyłącznie z poziomu systemu w pełni kompatybilnego z wykorzystywanym rozwiązaniem producenta.</w:t>
      </w:r>
    </w:p>
    <w:p w14:paraId="3DF8685F"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Wymóg kompatybilności nowych elementów instalacji AV z istniejącą infrastrukturą techniczną stanowi obiektywnie uzasadnioną potrzebę Zamawiającego, podyktowaną:</w:t>
      </w:r>
    </w:p>
    <w:p w14:paraId="7DC8C7CB" w14:textId="77777777" w:rsidR="008A29D9" w:rsidRDefault="008A29D9" w:rsidP="008A29D9">
      <w:pPr>
        <w:numPr>
          <w:ilvl w:val="0"/>
          <w:numId w:val="16"/>
        </w:numPr>
        <w:spacing w:line="300" w:lineRule="atLeast"/>
        <w:jc w:val="both"/>
        <w:rPr>
          <w:rFonts w:ascii="Verdana" w:hAnsi="Verdana" w:cs="Segoe UI"/>
          <w:b/>
          <w:bCs/>
          <w:sz w:val="18"/>
          <w:szCs w:val="18"/>
        </w:rPr>
      </w:pPr>
      <w:r>
        <w:rPr>
          <w:rFonts w:ascii="Verdana" w:hAnsi="Verdana" w:cs="Segoe UI"/>
          <w:b/>
          <w:bCs/>
          <w:sz w:val="18"/>
          <w:szCs w:val="18"/>
        </w:rPr>
        <w:t>koniecznością zachowania ciągłości pracy systemu,</w:t>
      </w:r>
    </w:p>
    <w:p w14:paraId="1AA5BB4C" w14:textId="77777777" w:rsidR="008A29D9" w:rsidRDefault="008A29D9" w:rsidP="008A29D9">
      <w:pPr>
        <w:numPr>
          <w:ilvl w:val="0"/>
          <w:numId w:val="16"/>
        </w:numPr>
        <w:spacing w:line="300" w:lineRule="atLeast"/>
        <w:jc w:val="both"/>
        <w:rPr>
          <w:rFonts w:ascii="Verdana" w:hAnsi="Verdana" w:cs="Segoe UI"/>
          <w:b/>
          <w:bCs/>
          <w:sz w:val="18"/>
          <w:szCs w:val="18"/>
        </w:rPr>
      </w:pPr>
      <w:r>
        <w:rPr>
          <w:rFonts w:ascii="Verdana" w:hAnsi="Verdana" w:cs="Segoe UI"/>
          <w:b/>
          <w:bCs/>
          <w:sz w:val="18"/>
          <w:szCs w:val="18"/>
        </w:rPr>
        <w:t xml:space="preserve">uniknięciem </w:t>
      </w:r>
      <w:proofErr w:type="spellStart"/>
      <w:r>
        <w:rPr>
          <w:rFonts w:ascii="Verdana" w:hAnsi="Verdana" w:cs="Segoe UI"/>
          <w:b/>
          <w:bCs/>
          <w:sz w:val="18"/>
          <w:szCs w:val="18"/>
        </w:rPr>
        <w:t>ryzyk</w:t>
      </w:r>
      <w:proofErr w:type="spellEnd"/>
      <w:r>
        <w:rPr>
          <w:rFonts w:ascii="Verdana" w:hAnsi="Verdana" w:cs="Segoe UI"/>
          <w:b/>
          <w:bCs/>
          <w:sz w:val="18"/>
          <w:szCs w:val="18"/>
        </w:rPr>
        <w:t xml:space="preserve"> integracyjnych,</w:t>
      </w:r>
    </w:p>
    <w:p w14:paraId="630F1285" w14:textId="77777777" w:rsidR="008A29D9" w:rsidRDefault="008A29D9" w:rsidP="008A29D9">
      <w:pPr>
        <w:numPr>
          <w:ilvl w:val="0"/>
          <w:numId w:val="16"/>
        </w:numPr>
        <w:spacing w:line="300" w:lineRule="atLeast"/>
        <w:jc w:val="both"/>
        <w:rPr>
          <w:rFonts w:ascii="Verdana" w:hAnsi="Verdana" w:cs="Segoe UI"/>
          <w:b/>
          <w:bCs/>
          <w:sz w:val="18"/>
          <w:szCs w:val="18"/>
        </w:rPr>
      </w:pPr>
      <w:r>
        <w:rPr>
          <w:rFonts w:ascii="Verdana" w:hAnsi="Verdana" w:cs="Segoe UI"/>
          <w:b/>
          <w:bCs/>
          <w:sz w:val="18"/>
          <w:szCs w:val="18"/>
        </w:rPr>
        <w:t>ograniczeniem kosztów serwisowych i eksploatacyjnych,</w:t>
      </w:r>
    </w:p>
    <w:p w14:paraId="54467632" w14:textId="77777777" w:rsidR="008A29D9" w:rsidRDefault="008A29D9" w:rsidP="008A29D9">
      <w:pPr>
        <w:numPr>
          <w:ilvl w:val="0"/>
          <w:numId w:val="16"/>
        </w:numPr>
        <w:spacing w:line="300" w:lineRule="atLeast"/>
        <w:jc w:val="both"/>
        <w:rPr>
          <w:rFonts w:ascii="Verdana" w:hAnsi="Verdana" w:cs="Segoe UI"/>
          <w:b/>
          <w:bCs/>
          <w:sz w:val="18"/>
          <w:szCs w:val="18"/>
        </w:rPr>
      </w:pPr>
      <w:r>
        <w:rPr>
          <w:rFonts w:ascii="Verdana" w:hAnsi="Verdana" w:cs="Segoe UI"/>
          <w:b/>
          <w:bCs/>
          <w:sz w:val="18"/>
          <w:szCs w:val="18"/>
        </w:rPr>
        <w:t>zapewnieniem jednolitego standardu technicznego infrastruktury.</w:t>
      </w:r>
    </w:p>
    <w:p w14:paraId="2E313C00"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Wymiana prawidłowo funkcjonujących urządzeń wyłącznie w celu umożliwienia zastosowania rozwiązań innych producentów byłaby działaniem niecelowym i niegospodarnym, prowadzącym do nieefektywnego wydatkowania środków publicznych oraz przedwczesnego wycofania urządzeń posiadających pełną wartość użytkową.</w:t>
      </w:r>
    </w:p>
    <w:p w14:paraId="31D78BB1"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Zamawiający wskazuje również, że obowiązek zapewnienia uczciwej konkurencji nie oznacza konieczności rezygnacji z wymagań uzasadnionych potrzebami organizacyjnymi, eksploatacyjnymi i ekonomicznymi Zamawiającego. Rezygnacja z wymogu kompatybilności skutkowałaby m.in.:</w:t>
      </w:r>
    </w:p>
    <w:p w14:paraId="3516C7EA" w14:textId="77777777" w:rsidR="008A29D9" w:rsidRDefault="008A29D9" w:rsidP="008A29D9">
      <w:pPr>
        <w:numPr>
          <w:ilvl w:val="0"/>
          <w:numId w:val="17"/>
        </w:numPr>
        <w:spacing w:line="300" w:lineRule="atLeast"/>
        <w:jc w:val="both"/>
        <w:rPr>
          <w:rFonts w:ascii="Verdana" w:hAnsi="Verdana" w:cs="Segoe UI"/>
          <w:b/>
          <w:bCs/>
          <w:sz w:val="18"/>
          <w:szCs w:val="18"/>
        </w:rPr>
      </w:pPr>
      <w:r>
        <w:rPr>
          <w:rFonts w:ascii="Verdana" w:hAnsi="Verdana" w:cs="Segoe UI"/>
          <w:b/>
          <w:bCs/>
          <w:sz w:val="18"/>
          <w:szCs w:val="18"/>
        </w:rPr>
        <w:t>koniecznością zakupu nowych urządzeń,</w:t>
      </w:r>
    </w:p>
    <w:p w14:paraId="460021D7" w14:textId="77777777" w:rsidR="008A29D9" w:rsidRDefault="008A29D9" w:rsidP="008A29D9">
      <w:pPr>
        <w:numPr>
          <w:ilvl w:val="0"/>
          <w:numId w:val="17"/>
        </w:numPr>
        <w:spacing w:line="300" w:lineRule="atLeast"/>
        <w:jc w:val="both"/>
        <w:rPr>
          <w:rFonts w:ascii="Verdana" w:hAnsi="Verdana" w:cs="Segoe UI"/>
          <w:b/>
          <w:bCs/>
          <w:sz w:val="18"/>
          <w:szCs w:val="18"/>
        </w:rPr>
      </w:pPr>
      <w:r>
        <w:rPr>
          <w:rFonts w:ascii="Verdana" w:hAnsi="Verdana" w:cs="Segoe UI"/>
          <w:b/>
          <w:bCs/>
          <w:sz w:val="18"/>
          <w:szCs w:val="18"/>
        </w:rPr>
        <w:t>dodatkowymi kosztami konfiguracji i wdrożenia,</w:t>
      </w:r>
    </w:p>
    <w:p w14:paraId="0E1F1A0A" w14:textId="77777777" w:rsidR="008A29D9" w:rsidRDefault="008A29D9" w:rsidP="008A29D9">
      <w:pPr>
        <w:numPr>
          <w:ilvl w:val="0"/>
          <w:numId w:val="17"/>
        </w:numPr>
        <w:spacing w:line="300" w:lineRule="atLeast"/>
        <w:jc w:val="both"/>
        <w:rPr>
          <w:rFonts w:ascii="Verdana" w:hAnsi="Verdana" w:cs="Segoe UI"/>
          <w:b/>
          <w:bCs/>
          <w:sz w:val="18"/>
          <w:szCs w:val="18"/>
        </w:rPr>
      </w:pPr>
      <w:r>
        <w:rPr>
          <w:rFonts w:ascii="Verdana" w:hAnsi="Verdana" w:cs="Segoe UI"/>
          <w:b/>
          <w:bCs/>
          <w:sz w:val="18"/>
          <w:szCs w:val="18"/>
        </w:rPr>
        <w:t>wzrostem kosztów utrzymania i serwisu,</w:t>
      </w:r>
    </w:p>
    <w:p w14:paraId="5A369872" w14:textId="77777777" w:rsidR="008A29D9" w:rsidRDefault="008A29D9" w:rsidP="008A29D9">
      <w:pPr>
        <w:numPr>
          <w:ilvl w:val="0"/>
          <w:numId w:val="17"/>
        </w:numPr>
        <w:spacing w:line="300" w:lineRule="atLeast"/>
        <w:jc w:val="both"/>
        <w:rPr>
          <w:rFonts w:ascii="Verdana" w:hAnsi="Verdana" w:cs="Segoe UI"/>
          <w:b/>
          <w:bCs/>
          <w:sz w:val="18"/>
          <w:szCs w:val="18"/>
        </w:rPr>
      </w:pPr>
      <w:r>
        <w:rPr>
          <w:rFonts w:ascii="Verdana" w:hAnsi="Verdana" w:cs="Segoe UI"/>
          <w:b/>
          <w:bCs/>
          <w:sz w:val="18"/>
          <w:szCs w:val="18"/>
        </w:rPr>
        <w:lastRenderedPageBreak/>
        <w:t>utratą jednolitości technologicznej systemu,</w:t>
      </w:r>
    </w:p>
    <w:p w14:paraId="7B832AB2"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co pozostawałoby w sprzeczności z zasadą racjonalnego i oszczędnego gospodarowania środkami publicznymi.</w:t>
      </w:r>
    </w:p>
    <w:p w14:paraId="7209F455"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Zamawiający wyjaśnia ponadto, że w czterech lokalizacjach przewidziano możliwość jednoczesnego podłączenia do czterech źródeł sygnału wideo. Z uwagi na ograniczenia istniejącej infrastruktury transmisyjnej, w szczególności ograniczoną liczbę dostępnych połączeń światłowodowych pomiędzy lokalizacjami, konieczne jest zastosowanie nadajników wyposażonych w cztery wejścia wideo. Wymóg ten wynika bezpośrednio z uwarunkowań technicznych i funkcjonalnych systemu, a nie z arbitralnego wyboru producenta.</w:t>
      </w:r>
    </w:p>
    <w:p w14:paraId="02EF62E2"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W przypadkach, w których w dokumentacji użyto nazw własnych producentów lub modeli, zapisy te należy interpretować jako dopuszczające zastosowanie rozwiązań równoważnych, pod warunkiem wykazania przez Wykonawcę, że oferowane rozwiązanie:</w:t>
      </w:r>
    </w:p>
    <w:p w14:paraId="34B13146" w14:textId="77777777" w:rsidR="008A29D9" w:rsidRDefault="008A29D9" w:rsidP="008A29D9">
      <w:pPr>
        <w:numPr>
          <w:ilvl w:val="0"/>
          <w:numId w:val="18"/>
        </w:numPr>
        <w:spacing w:line="300" w:lineRule="atLeast"/>
        <w:jc w:val="both"/>
        <w:rPr>
          <w:rFonts w:ascii="Verdana" w:hAnsi="Verdana" w:cs="Segoe UI"/>
          <w:b/>
          <w:bCs/>
          <w:sz w:val="18"/>
          <w:szCs w:val="18"/>
        </w:rPr>
      </w:pPr>
      <w:r>
        <w:rPr>
          <w:rFonts w:ascii="Verdana" w:hAnsi="Verdana" w:cs="Segoe UI"/>
          <w:b/>
          <w:bCs/>
          <w:sz w:val="18"/>
          <w:szCs w:val="18"/>
        </w:rPr>
        <w:t>spełnia wszystkie wymagane parametry techniczne i funkcjonalne,</w:t>
      </w:r>
    </w:p>
    <w:p w14:paraId="0CBC149D" w14:textId="77777777" w:rsidR="008A29D9" w:rsidRDefault="008A29D9" w:rsidP="008A29D9">
      <w:pPr>
        <w:numPr>
          <w:ilvl w:val="0"/>
          <w:numId w:val="18"/>
        </w:numPr>
        <w:spacing w:line="300" w:lineRule="atLeast"/>
        <w:jc w:val="both"/>
        <w:rPr>
          <w:rFonts w:ascii="Verdana" w:hAnsi="Verdana" w:cs="Segoe UI"/>
          <w:b/>
          <w:bCs/>
          <w:sz w:val="18"/>
          <w:szCs w:val="18"/>
        </w:rPr>
      </w:pPr>
      <w:r>
        <w:rPr>
          <w:rFonts w:ascii="Verdana" w:hAnsi="Verdana" w:cs="Segoe UI"/>
          <w:b/>
          <w:bCs/>
          <w:sz w:val="18"/>
          <w:szCs w:val="18"/>
        </w:rPr>
        <w:t>zapewnia pełną kompatybilność z istniejącą infrastrukturą Zamawiającego,</w:t>
      </w:r>
    </w:p>
    <w:p w14:paraId="266F8EC6" w14:textId="77777777" w:rsidR="008A29D9" w:rsidRDefault="008A29D9" w:rsidP="008A29D9">
      <w:pPr>
        <w:numPr>
          <w:ilvl w:val="0"/>
          <w:numId w:val="18"/>
        </w:numPr>
        <w:spacing w:line="300" w:lineRule="atLeast"/>
        <w:jc w:val="both"/>
        <w:rPr>
          <w:rFonts w:ascii="Verdana" w:hAnsi="Verdana" w:cs="Segoe UI"/>
          <w:b/>
          <w:bCs/>
          <w:sz w:val="18"/>
          <w:szCs w:val="18"/>
        </w:rPr>
      </w:pPr>
      <w:r>
        <w:rPr>
          <w:rFonts w:ascii="Verdana" w:hAnsi="Verdana" w:cs="Segoe UI"/>
          <w:b/>
          <w:bCs/>
          <w:sz w:val="18"/>
          <w:szCs w:val="18"/>
        </w:rPr>
        <w:t>nie generuje dodatkowych kosztów po stronie Zamawiającego.</w:t>
      </w:r>
    </w:p>
    <w:p w14:paraId="20C4FD33" w14:textId="77777777" w:rsidR="008A29D9" w:rsidRDefault="008A29D9" w:rsidP="008A29D9">
      <w:pPr>
        <w:spacing w:line="300" w:lineRule="atLeast"/>
        <w:jc w:val="both"/>
        <w:rPr>
          <w:rFonts w:ascii="Verdana" w:hAnsi="Verdana" w:cs="Segoe UI"/>
          <w:b/>
          <w:bCs/>
          <w:sz w:val="18"/>
          <w:szCs w:val="18"/>
        </w:rPr>
      </w:pPr>
      <w:r>
        <w:rPr>
          <w:rFonts w:ascii="Verdana" w:hAnsi="Verdana" w:cs="Segoe UI"/>
          <w:b/>
          <w:bCs/>
          <w:sz w:val="18"/>
          <w:szCs w:val="18"/>
        </w:rPr>
        <w:t>Mając na względzie zasadę proporcjonalności oraz w celu usunięcia ewentualnych wątpliwości interpretacyjnych, Zamawiający dokonuje modyfikacji załącznika nr 1 poprzez doprecyzowanie zapisów w sposób umożliwiający oferowanie rozwiązań równoważnych, przy jednoczesnym zachowaniu wymogu kompatybilności z istniejącym systemem.</w:t>
      </w:r>
    </w:p>
    <w:p w14:paraId="40325B01" w14:textId="77777777" w:rsidR="008A29D9" w:rsidRDefault="008A29D9" w:rsidP="008A29D9">
      <w:pPr>
        <w:jc w:val="both"/>
        <w:rPr>
          <w:rFonts w:ascii="Verdana" w:hAnsi="Verdana"/>
          <w:bCs/>
          <w:sz w:val="18"/>
          <w:szCs w:val="18"/>
        </w:rPr>
      </w:pPr>
      <w:r>
        <w:rPr>
          <w:rFonts w:ascii="Verdana" w:hAnsi="Verdana"/>
          <w:bCs/>
          <w:sz w:val="18"/>
          <w:szCs w:val="18"/>
        </w:rPr>
        <w:t>Zamawiający zamieszcza zmodyfikowany obowiązujący załącznik nr 1 opis techniczny ww. urządzeń.</w:t>
      </w:r>
    </w:p>
    <w:p w14:paraId="2036D5E9" w14:textId="1B3631E0" w:rsidR="00177B05" w:rsidRPr="008A29D9" w:rsidRDefault="00177B05" w:rsidP="008A29D9"/>
    <w:sectPr w:rsidR="00177B05" w:rsidRPr="008A29D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F452D" w14:textId="77777777" w:rsidR="00AE17D9" w:rsidRDefault="00AE17D9">
      <w:r>
        <w:separator/>
      </w:r>
    </w:p>
  </w:endnote>
  <w:endnote w:type="continuationSeparator" w:id="0">
    <w:p w14:paraId="1CB327F0" w14:textId="77777777" w:rsidR="00AE17D9" w:rsidRDefault="00AE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5435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86034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B053A" w14:textId="77777777" w:rsidR="006D4AB3" w:rsidRDefault="008A29D9">
    <w:pPr>
      <w:pStyle w:val="Stopka"/>
      <w:tabs>
        <w:tab w:val="clear" w:pos="4536"/>
      </w:tabs>
      <w:jc w:val="center"/>
    </w:pPr>
    <w:r>
      <w:rPr>
        <w:noProof/>
      </w:rPr>
      <w:pict w14:anchorId="6F8C4D9D">
        <v:line id="_x0000_s1025" style="position:absolute;left:0;text-align:left;z-index:251657728" from="-3.85pt,8.75pt" to="455.15pt,8.75pt"/>
      </w:pict>
    </w:r>
  </w:p>
  <w:p w14:paraId="1594794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4E0F4" w14:textId="77777777" w:rsidR="006D4AB3" w:rsidRDefault="006D4AB3">
    <w:pPr>
      <w:pStyle w:val="Stopka"/>
      <w:pBdr>
        <w:bottom w:val="single" w:sz="6" w:space="0" w:color="auto"/>
      </w:pBdr>
      <w:tabs>
        <w:tab w:val="clear" w:pos="4536"/>
        <w:tab w:val="left" w:pos="6237"/>
      </w:tabs>
    </w:pPr>
  </w:p>
  <w:p w14:paraId="63C6DEB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F5ABF70" w14:textId="77777777" w:rsidR="006D4AB3" w:rsidRDefault="006D4AB3">
    <w:pPr>
      <w:pStyle w:val="Stopka"/>
      <w:tabs>
        <w:tab w:val="clear" w:pos="4536"/>
        <w:tab w:val="left" w:pos="6237"/>
      </w:tabs>
    </w:pPr>
  </w:p>
  <w:p w14:paraId="376F04E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F0F76" w14:textId="77777777" w:rsidR="00AE17D9" w:rsidRDefault="00AE17D9">
      <w:r>
        <w:separator/>
      </w:r>
    </w:p>
  </w:footnote>
  <w:footnote w:type="continuationSeparator" w:id="0">
    <w:p w14:paraId="66C07A8C" w14:textId="77777777" w:rsidR="00AE17D9" w:rsidRDefault="00AE1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25989" w14:textId="77777777" w:rsidR="00F7672F" w:rsidRDefault="00F767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1C685" w14:textId="77777777" w:rsidR="00F7672F" w:rsidRDefault="00F767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B7C0F" w14:textId="77777777" w:rsidR="00F7672F" w:rsidRDefault="00F767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DA4"/>
    <w:multiLevelType w:val="multilevel"/>
    <w:tmpl w:val="9FECC180"/>
    <w:lvl w:ilvl="0">
      <w:start w:val="1"/>
      <w:numFmt w:val="bullet"/>
      <w:lvlText w:val="−"/>
      <w:lvlJc w:val="left"/>
      <w:pPr>
        <w:tabs>
          <w:tab w:val="num" w:pos="360"/>
        </w:tabs>
        <w:ind w:left="360" w:hanging="360"/>
      </w:pPr>
      <w:rPr>
        <w:rFonts w:ascii="Times New Roman" w:hAnsi="Times New Roman" w:cs="Times New Roman" w:hint="default"/>
        <w:color w:val="auto"/>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7A1594F"/>
    <w:multiLevelType w:val="hybridMultilevel"/>
    <w:tmpl w:val="FC7840CC"/>
    <w:lvl w:ilvl="0" w:tplc="D944B23E">
      <w:start w:val="1"/>
      <w:numFmt w:val="bullet"/>
      <w:lvlText w:val="−"/>
      <w:lvlJc w:val="left"/>
      <w:pPr>
        <w:ind w:left="720" w:hanging="360"/>
      </w:pPr>
      <w:rPr>
        <w:rFonts w:ascii="Times New Roman" w:hAnsi="Times New Roman" w:cs="Times New Roman"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226705A"/>
    <w:multiLevelType w:val="multilevel"/>
    <w:tmpl w:val="58203B96"/>
    <w:lvl w:ilvl="0">
      <w:start w:val="1"/>
      <w:numFmt w:val="bullet"/>
      <w:lvlText w:val="−"/>
      <w:lvlJc w:val="left"/>
      <w:pPr>
        <w:tabs>
          <w:tab w:val="num" w:pos="360"/>
        </w:tabs>
        <w:ind w:left="360" w:hanging="360"/>
      </w:pPr>
      <w:rPr>
        <w:rFonts w:ascii="Times New Roman" w:hAnsi="Times New Roman" w:cs="Times New Roman" w:hint="default"/>
        <w:color w:val="auto"/>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3BF56F3"/>
    <w:multiLevelType w:val="multilevel"/>
    <w:tmpl w:val="0DAE26C8"/>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0E222F4"/>
    <w:multiLevelType w:val="multilevel"/>
    <w:tmpl w:val="57B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27435"/>
    <w:multiLevelType w:val="multilevel"/>
    <w:tmpl w:val="EAE04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276A3D"/>
    <w:multiLevelType w:val="hybridMultilevel"/>
    <w:tmpl w:val="BCC21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423140"/>
    <w:multiLevelType w:val="multilevel"/>
    <w:tmpl w:val="CDCCA1EE"/>
    <w:lvl w:ilvl="0">
      <w:start w:val="1"/>
      <w:numFmt w:val="bullet"/>
      <w:lvlText w:val="−"/>
      <w:lvlJc w:val="left"/>
      <w:pPr>
        <w:tabs>
          <w:tab w:val="num" w:pos="360"/>
        </w:tabs>
        <w:ind w:left="360" w:hanging="360"/>
      </w:pPr>
      <w:rPr>
        <w:rFonts w:ascii="Times New Roman" w:hAnsi="Times New Roman" w:cs="Times New Roman" w:hint="default"/>
        <w:color w:val="auto"/>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BBB0C7B"/>
    <w:multiLevelType w:val="multilevel"/>
    <w:tmpl w:val="297CE900"/>
    <w:lvl w:ilvl="0">
      <w:start w:val="1"/>
      <w:numFmt w:val="bullet"/>
      <w:lvlText w:val="−"/>
      <w:lvlJc w:val="left"/>
      <w:pPr>
        <w:tabs>
          <w:tab w:val="num" w:pos="360"/>
        </w:tabs>
        <w:ind w:left="360" w:hanging="360"/>
      </w:pPr>
      <w:rPr>
        <w:rFonts w:ascii="Times New Roman" w:hAnsi="Times New Roman" w:cs="Times New Roman" w:hint="default"/>
        <w:color w:val="auto"/>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13"/>
  </w:num>
  <w:num w:numId="3">
    <w:abstractNumId w:val="6"/>
  </w:num>
  <w:num w:numId="4">
    <w:abstractNumId w:val="12"/>
  </w:num>
  <w:num w:numId="5">
    <w:abstractNumId w:val="3"/>
  </w:num>
  <w:num w:numId="6">
    <w:abstractNumId w:val="4"/>
  </w:num>
  <w:num w:numId="7">
    <w:abstractNumId w:val="11"/>
  </w:num>
  <w:num w:numId="8">
    <w:abstractNumId w:val="10"/>
  </w:num>
  <w:num w:numId="9">
    <w:abstractNumId w:val="8"/>
  </w:num>
  <w:num w:numId="10">
    <w:abstractNumId w:val="1"/>
  </w:num>
  <w:num w:numId="11">
    <w:abstractNumId w:val="9"/>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lvlOverride w:ilvl="2"/>
    <w:lvlOverride w:ilvl="3"/>
    <w:lvlOverride w:ilvl="4"/>
    <w:lvlOverride w:ilvl="5"/>
    <w:lvlOverride w:ilvl="6"/>
    <w:lvlOverride w:ilvl="7"/>
    <w:lvlOverride w:ilvl="8"/>
  </w:num>
  <w:num w:numId="14">
    <w:abstractNumId w:val="0"/>
    <w:lvlOverride w:ilvl="0"/>
    <w:lvlOverride w:ilvl="1"/>
    <w:lvlOverride w:ilvl="2"/>
    <w:lvlOverride w:ilvl="3"/>
    <w:lvlOverride w:ilvl="4"/>
    <w:lvlOverride w:ilvl="5"/>
    <w:lvlOverride w:ilvl="6"/>
    <w:lvlOverride w:ilvl="7"/>
    <w:lvlOverride w:ilvl="8"/>
  </w:num>
  <w:num w:numId="15">
    <w:abstractNumId w:val="5"/>
    <w:lvlOverride w:ilvl="0">
      <w:startOverride w:val="1"/>
    </w:lvlOverride>
    <w:lvlOverride w:ilvl="1"/>
    <w:lvlOverride w:ilvl="2"/>
    <w:lvlOverride w:ilvl="3"/>
    <w:lvlOverride w:ilvl="4"/>
    <w:lvlOverride w:ilvl="5"/>
    <w:lvlOverride w:ilvl="6"/>
    <w:lvlOverride w:ilvl="7"/>
    <w:lvlOverride w:ilvl="8"/>
  </w:num>
  <w:num w:numId="16">
    <w:abstractNumId w:val="2"/>
    <w:lvlOverride w:ilvl="0"/>
    <w:lvlOverride w:ilvl="1"/>
    <w:lvlOverride w:ilvl="2"/>
    <w:lvlOverride w:ilvl="3"/>
    <w:lvlOverride w:ilvl="4"/>
    <w:lvlOverride w:ilvl="5"/>
    <w:lvlOverride w:ilvl="6"/>
    <w:lvlOverride w:ilvl="7"/>
    <w:lvlOverride w:ilvl="8"/>
  </w:num>
  <w:num w:numId="17">
    <w:abstractNumId w:val="14"/>
    <w:lvlOverride w:ilvl="0"/>
    <w:lvlOverride w:ilvl="1"/>
    <w:lvlOverride w:ilvl="2"/>
    <w:lvlOverride w:ilvl="3"/>
    <w:lvlOverride w:ilvl="4"/>
    <w:lvlOverride w:ilvl="5"/>
    <w:lvlOverride w:ilvl="6"/>
    <w:lvlOverride w:ilvl="7"/>
    <w:lvlOverride w:ilvl="8"/>
  </w:num>
  <w:num w:numId="18">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55E6"/>
    <w:rsid w:val="00031374"/>
    <w:rsid w:val="000A1097"/>
    <w:rsid w:val="000E2A8F"/>
    <w:rsid w:val="0012774F"/>
    <w:rsid w:val="00144B7A"/>
    <w:rsid w:val="00177B05"/>
    <w:rsid w:val="00180C6E"/>
    <w:rsid w:val="00240FCC"/>
    <w:rsid w:val="00291184"/>
    <w:rsid w:val="0029606A"/>
    <w:rsid w:val="002C6A48"/>
    <w:rsid w:val="00466400"/>
    <w:rsid w:val="004848F3"/>
    <w:rsid w:val="004A75F2"/>
    <w:rsid w:val="004C0258"/>
    <w:rsid w:val="004D77D8"/>
    <w:rsid w:val="005144A9"/>
    <w:rsid w:val="00520165"/>
    <w:rsid w:val="005755E6"/>
    <w:rsid w:val="005B1B08"/>
    <w:rsid w:val="00632C3C"/>
    <w:rsid w:val="00662BDB"/>
    <w:rsid w:val="006A5DF1"/>
    <w:rsid w:val="006B7198"/>
    <w:rsid w:val="006D4AB3"/>
    <w:rsid w:val="006F3B81"/>
    <w:rsid w:val="00711222"/>
    <w:rsid w:val="007D7198"/>
    <w:rsid w:val="00864538"/>
    <w:rsid w:val="00870F9F"/>
    <w:rsid w:val="008804B6"/>
    <w:rsid w:val="00897AB0"/>
    <w:rsid w:val="008A29D9"/>
    <w:rsid w:val="008A3553"/>
    <w:rsid w:val="009B0FE5"/>
    <w:rsid w:val="00A905AC"/>
    <w:rsid w:val="00AE17D9"/>
    <w:rsid w:val="00B127E1"/>
    <w:rsid w:val="00B44971"/>
    <w:rsid w:val="00BA6584"/>
    <w:rsid w:val="00BE7BFD"/>
    <w:rsid w:val="00C370F2"/>
    <w:rsid w:val="00C44EEC"/>
    <w:rsid w:val="00C518CD"/>
    <w:rsid w:val="00C555CE"/>
    <w:rsid w:val="00C7098D"/>
    <w:rsid w:val="00CD6DD4"/>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7672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31FCE"/>
  <w15:chartTrackingRefBased/>
  <w15:docId w15:val="{CA0F4CB0-BCB7-40EF-A198-07AD4EAD6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8A29D9"/>
    <w:rPr>
      <w:rFonts w:ascii="Arial" w:hAnsi="Arial"/>
      <w:b/>
      <w:kern w:val="28"/>
      <w:sz w:val="28"/>
    </w:rPr>
  </w:style>
  <w:style w:type="character" w:customStyle="1" w:styleId="NagwekZnak">
    <w:name w:val="Nagłówek Znak"/>
    <w:link w:val="Nagwek"/>
    <w:rsid w:val="008A29D9"/>
  </w:style>
  <w:style w:type="paragraph" w:styleId="Akapitzlist">
    <w:name w:val="List Paragraph"/>
    <w:basedOn w:val="Normalny"/>
    <w:uiPriority w:val="34"/>
    <w:qFormat/>
    <w:rsid w:val="008A29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4819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43</TotalTime>
  <Pages>5</Pages>
  <Words>1996</Words>
  <Characters>13947</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Renata Rogowska-Kwas</cp:lastModifiedBy>
  <cp:revision>7</cp:revision>
  <cp:lastPrinted>2001-02-10T14:28:00Z</cp:lastPrinted>
  <dcterms:created xsi:type="dcterms:W3CDTF">2026-05-07T06:01:00Z</dcterms:created>
  <dcterms:modified xsi:type="dcterms:W3CDTF">2026-05-13T05:12:00Z</dcterms:modified>
</cp:coreProperties>
</file>