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EB499A" w:rsidRDefault="007D3C08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sz w:val="22"/>
          <w:szCs w:val="22"/>
        </w:rPr>
        <w:t>Kraków</w:t>
      </w:r>
      <w:r w:rsidR="006A5DF1" w:rsidRPr="00EB499A">
        <w:rPr>
          <w:rFonts w:ascii="Calibri" w:hAnsi="Calibri" w:cs="Calibri"/>
          <w:sz w:val="22"/>
          <w:szCs w:val="22"/>
        </w:rPr>
        <w:t xml:space="preserve"> dnia: </w:t>
      </w:r>
      <w:r w:rsidRPr="00EB499A">
        <w:rPr>
          <w:rFonts w:ascii="Calibri" w:hAnsi="Calibri" w:cs="Calibri"/>
          <w:sz w:val="22"/>
          <w:szCs w:val="22"/>
        </w:rPr>
        <w:t>2026-03-1</w:t>
      </w:r>
      <w:r w:rsidR="00EB499A" w:rsidRPr="00EB499A">
        <w:rPr>
          <w:rFonts w:ascii="Calibri" w:hAnsi="Calibri" w:cs="Calibri"/>
          <w:sz w:val="22"/>
          <w:szCs w:val="22"/>
        </w:rPr>
        <w:t>3</w:t>
      </w:r>
    </w:p>
    <w:p w:rsidR="0029606A" w:rsidRPr="00EB499A" w:rsidRDefault="0029606A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</w:p>
    <w:p w:rsidR="006A5DF1" w:rsidRPr="00EB499A" w:rsidRDefault="00BE62A3" w:rsidP="006A5DF1">
      <w:pPr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 xml:space="preserve">Szpital Miejski Specjalistyczny </w:t>
      </w:r>
    </w:p>
    <w:p w:rsidR="00BE62A3" w:rsidRPr="00EB499A" w:rsidRDefault="00BE62A3" w:rsidP="006A5DF1">
      <w:pPr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im. Gabriela Narutowicza w Krakowie</w:t>
      </w:r>
    </w:p>
    <w:p w:rsidR="006A5DF1" w:rsidRPr="00EB499A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sz w:val="22"/>
          <w:szCs w:val="22"/>
        </w:rPr>
        <w:t>ul. Prądnicka 35-37</w:t>
      </w:r>
    </w:p>
    <w:p w:rsidR="00BE62A3" w:rsidRPr="00EB499A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sz w:val="22"/>
          <w:szCs w:val="22"/>
        </w:rPr>
        <w:t>31-202 Kraków</w:t>
      </w:r>
    </w:p>
    <w:p w:rsidR="006A5DF1" w:rsidRPr="00EB499A" w:rsidRDefault="006A5DF1" w:rsidP="006A5DF1">
      <w:pPr>
        <w:pStyle w:val="Nagwek"/>
        <w:tabs>
          <w:tab w:val="clear" w:pos="4536"/>
        </w:tabs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sz w:val="22"/>
          <w:szCs w:val="22"/>
        </w:rPr>
        <w:tab/>
        <w:t xml:space="preserve"> </w:t>
      </w:r>
    </w:p>
    <w:p w:rsidR="006A5DF1" w:rsidRPr="00EB499A" w:rsidRDefault="006A5DF1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A5DF1" w:rsidRPr="00EB499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b/>
          <w:sz w:val="22"/>
          <w:szCs w:val="22"/>
        </w:rPr>
      </w:pPr>
      <w:r w:rsidRPr="00EB499A">
        <w:rPr>
          <w:rFonts w:ascii="Calibri" w:hAnsi="Calibri" w:cs="Calibri"/>
          <w:b/>
          <w:sz w:val="22"/>
          <w:szCs w:val="22"/>
        </w:rPr>
        <w:t>WYKONAWCY</w:t>
      </w:r>
    </w:p>
    <w:p w:rsidR="006A5DF1" w:rsidRPr="00EB499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sz w:val="22"/>
          <w:szCs w:val="22"/>
        </w:rPr>
        <w:t>ubiegający się o zamówienie publiczne</w:t>
      </w:r>
    </w:p>
    <w:p w:rsidR="006D4AB3" w:rsidRPr="00EB499A" w:rsidRDefault="006D4AB3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32C3C" w:rsidRPr="00EB499A" w:rsidRDefault="00E21B49" w:rsidP="0029606A">
      <w:pPr>
        <w:pStyle w:val="Nagwek1"/>
        <w:spacing w:after="480" w:line="276" w:lineRule="auto"/>
        <w:jc w:val="center"/>
        <w:rPr>
          <w:rFonts w:ascii="Calibri" w:hAnsi="Calibri" w:cs="Calibri"/>
          <w:szCs w:val="28"/>
        </w:rPr>
      </w:pPr>
      <w:r w:rsidRPr="00EB499A">
        <w:rPr>
          <w:rFonts w:ascii="Calibri" w:hAnsi="Calibri" w:cs="Calibri"/>
          <w:szCs w:val="28"/>
        </w:rPr>
        <w:t>WYJAŚNIENI</w:t>
      </w:r>
      <w:r w:rsidR="00520165" w:rsidRPr="00EB499A">
        <w:rPr>
          <w:rFonts w:ascii="Calibri" w:hAnsi="Calibri" w:cs="Calibri"/>
          <w:szCs w:val="28"/>
        </w:rPr>
        <w:t>A</w:t>
      </w:r>
      <w:r w:rsidR="00632C3C" w:rsidRPr="00EB499A">
        <w:rPr>
          <w:rFonts w:ascii="Calibri" w:hAnsi="Calibri" w:cs="Calibri"/>
          <w:szCs w:val="28"/>
        </w:rPr>
        <w:t xml:space="preserve"> TREŚCI</w:t>
      </w:r>
      <w:r w:rsidR="0029606A" w:rsidRPr="00EB499A">
        <w:rPr>
          <w:rFonts w:ascii="Calibri" w:hAnsi="Calibri" w:cs="Calibri"/>
          <w:szCs w:val="28"/>
        </w:rPr>
        <w:t xml:space="preserve"> SWZ</w:t>
      </w:r>
      <w:r w:rsidR="00EB499A" w:rsidRPr="00EB499A">
        <w:rPr>
          <w:rFonts w:ascii="Calibri" w:hAnsi="Calibri" w:cs="Calibri"/>
          <w:szCs w:val="28"/>
        </w:rPr>
        <w:t>-11</w:t>
      </w:r>
    </w:p>
    <w:p w:rsidR="006D4AB3" w:rsidRPr="00EB499A" w:rsidRDefault="00632C3C" w:rsidP="00520165">
      <w:pPr>
        <w:spacing w:after="360" w:line="276" w:lineRule="auto"/>
        <w:jc w:val="both"/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sz w:val="22"/>
          <w:szCs w:val="22"/>
        </w:rPr>
        <w:t xml:space="preserve">Dotyczy: </w:t>
      </w:r>
      <w:r w:rsidR="006A5DF1" w:rsidRPr="00EB499A">
        <w:rPr>
          <w:rFonts w:ascii="Calibri" w:hAnsi="Calibri" w:cs="Calibri"/>
          <w:sz w:val="22"/>
          <w:szCs w:val="22"/>
        </w:rPr>
        <w:t>p</w:t>
      </w:r>
      <w:r w:rsidRPr="00EB499A">
        <w:rPr>
          <w:rFonts w:ascii="Calibri" w:hAnsi="Calibri" w:cs="Calibri"/>
          <w:sz w:val="22"/>
          <w:szCs w:val="22"/>
        </w:rPr>
        <w:t>ostępowani</w:t>
      </w:r>
      <w:r w:rsidR="006A5DF1" w:rsidRPr="00EB499A">
        <w:rPr>
          <w:rFonts w:ascii="Calibri" w:hAnsi="Calibri" w:cs="Calibri"/>
          <w:sz w:val="22"/>
          <w:szCs w:val="22"/>
        </w:rPr>
        <w:t>a</w:t>
      </w:r>
      <w:r w:rsidRPr="00EB499A">
        <w:rPr>
          <w:rFonts w:ascii="Calibri" w:hAnsi="Calibri" w:cs="Calibri"/>
          <w:sz w:val="22"/>
          <w:szCs w:val="22"/>
        </w:rPr>
        <w:t xml:space="preserve"> o udzielenie zamówienia publicznego, prowadzone</w:t>
      </w:r>
      <w:r w:rsidR="006A5DF1" w:rsidRPr="00EB499A">
        <w:rPr>
          <w:rFonts w:ascii="Calibri" w:hAnsi="Calibri" w:cs="Calibri"/>
          <w:sz w:val="22"/>
          <w:szCs w:val="22"/>
        </w:rPr>
        <w:t>go</w:t>
      </w:r>
      <w:r w:rsidRPr="00EB499A">
        <w:rPr>
          <w:rFonts w:ascii="Calibri" w:hAnsi="Calibri" w:cs="Calibri"/>
          <w:sz w:val="22"/>
          <w:szCs w:val="22"/>
        </w:rPr>
        <w:t xml:space="preserve"> w</w:t>
      </w:r>
      <w:r w:rsidR="00BE62A3" w:rsidRPr="00EB499A">
        <w:rPr>
          <w:rFonts w:ascii="Calibri" w:hAnsi="Calibri" w:cs="Calibri"/>
          <w:sz w:val="22"/>
          <w:szCs w:val="22"/>
        </w:rPr>
        <w:t> </w:t>
      </w:r>
      <w:r w:rsidRPr="00EB499A">
        <w:rPr>
          <w:rFonts w:ascii="Calibri" w:hAnsi="Calibri" w:cs="Calibri"/>
          <w:sz w:val="22"/>
          <w:szCs w:val="22"/>
        </w:rPr>
        <w:t xml:space="preserve">trybie </w:t>
      </w:r>
      <w:r w:rsidR="007D3C08" w:rsidRPr="00EB499A">
        <w:rPr>
          <w:rFonts w:ascii="Calibri" w:hAnsi="Calibri" w:cs="Calibri"/>
          <w:sz w:val="22"/>
          <w:szCs w:val="22"/>
        </w:rPr>
        <w:t>przetarg</w:t>
      </w:r>
      <w:r w:rsidR="004D4C52">
        <w:rPr>
          <w:rFonts w:ascii="Calibri" w:hAnsi="Calibri" w:cs="Calibri"/>
          <w:sz w:val="22"/>
          <w:szCs w:val="22"/>
        </w:rPr>
        <w:t>u</w:t>
      </w:r>
      <w:r w:rsidR="007D3C08" w:rsidRPr="00EB499A">
        <w:rPr>
          <w:rFonts w:ascii="Calibri" w:hAnsi="Calibri" w:cs="Calibri"/>
          <w:sz w:val="22"/>
          <w:szCs w:val="22"/>
        </w:rPr>
        <w:t xml:space="preserve"> nieograniczon</w:t>
      </w:r>
      <w:r w:rsidR="004D4C52">
        <w:rPr>
          <w:rFonts w:ascii="Calibri" w:hAnsi="Calibri" w:cs="Calibri"/>
          <w:sz w:val="22"/>
          <w:szCs w:val="22"/>
        </w:rPr>
        <w:t>ego</w:t>
      </w:r>
      <w:r w:rsidRPr="00EB499A">
        <w:rPr>
          <w:rFonts w:ascii="Calibri" w:hAnsi="Calibri" w:cs="Calibri"/>
          <w:b/>
          <w:sz w:val="22"/>
          <w:szCs w:val="22"/>
        </w:rPr>
        <w:t xml:space="preserve"> </w:t>
      </w:r>
      <w:r w:rsidRPr="00EB499A">
        <w:rPr>
          <w:rFonts w:ascii="Calibri" w:hAnsi="Calibri" w:cs="Calibri"/>
          <w:bCs/>
          <w:sz w:val="22"/>
          <w:szCs w:val="22"/>
        </w:rPr>
        <w:t>na</w:t>
      </w:r>
      <w:r w:rsidRPr="00EB499A">
        <w:rPr>
          <w:rFonts w:ascii="Calibri" w:hAnsi="Calibri" w:cs="Calibri"/>
          <w:b/>
          <w:sz w:val="22"/>
          <w:szCs w:val="22"/>
        </w:rPr>
        <w:t xml:space="preserve"> </w:t>
      </w:r>
      <w:r w:rsidR="00E72428" w:rsidRPr="00EB499A">
        <w:rPr>
          <w:rFonts w:ascii="Calibri" w:hAnsi="Calibri" w:cs="Calibri"/>
          <w:bCs/>
          <w:sz w:val="22"/>
          <w:szCs w:val="22"/>
        </w:rPr>
        <w:t>”</w:t>
      </w:r>
      <w:r w:rsidR="007D3C08" w:rsidRPr="00EB499A">
        <w:rPr>
          <w:rFonts w:ascii="Calibri" w:hAnsi="Calibri" w:cs="Calibri"/>
          <w:b/>
          <w:bCs/>
          <w:sz w:val="22"/>
          <w:szCs w:val="22"/>
        </w:rPr>
        <w:t xml:space="preserve">Zakup urządzeń i wyrobów medycznych przeznaczonych do diagnostyki </w:t>
      </w:r>
      <w:r w:rsidR="00EB499A" w:rsidRPr="00EB499A">
        <w:rPr>
          <w:rFonts w:ascii="Calibri" w:hAnsi="Calibri" w:cs="Calibri"/>
          <w:b/>
          <w:bCs/>
          <w:sz w:val="22"/>
          <w:szCs w:val="22"/>
        </w:rPr>
        <w:br/>
      </w:r>
      <w:r w:rsidR="007D3C08" w:rsidRPr="00EB499A">
        <w:rPr>
          <w:rFonts w:ascii="Calibri" w:hAnsi="Calibri" w:cs="Calibri"/>
          <w:b/>
          <w:bCs/>
          <w:sz w:val="22"/>
          <w:szCs w:val="22"/>
        </w:rPr>
        <w:t xml:space="preserve">i leczenia kardiologicznego w Szpitalu Miejskim Specjalistycznym im. Gabriela Narutowicza </w:t>
      </w:r>
      <w:r w:rsidR="00EB499A" w:rsidRPr="00EB499A">
        <w:rPr>
          <w:rFonts w:ascii="Calibri" w:hAnsi="Calibri" w:cs="Calibri"/>
          <w:b/>
          <w:bCs/>
          <w:sz w:val="22"/>
          <w:szCs w:val="22"/>
        </w:rPr>
        <w:br/>
      </w:r>
      <w:r w:rsidR="007D3C08" w:rsidRPr="00EB499A">
        <w:rPr>
          <w:rFonts w:ascii="Calibri" w:hAnsi="Calibri" w:cs="Calibri"/>
          <w:b/>
          <w:bCs/>
          <w:sz w:val="22"/>
          <w:szCs w:val="22"/>
        </w:rPr>
        <w:t>w Krakowie</w:t>
      </w:r>
      <w:r w:rsidR="00E72428" w:rsidRPr="00EB499A">
        <w:rPr>
          <w:rFonts w:ascii="Calibri" w:hAnsi="Calibri" w:cs="Calibri"/>
          <w:bCs/>
          <w:sz w:val="22"/>
          <w:szCs w:val="22"/>
        </w:rPr>
        <w:t>”</w:t>
      </w:r>
      <w:r w:rsidRPr="00EB499A">
        <w:rPr>
          <w:rFonts w:ascii="Calibri" w:hAnsi="Calibri" w:cs="Calibri"/>
          <w:b/>
          <w:sz w:val="22"/>
          <w:szCs w:val="22"/>
        </w:rPr>
        <w:t xml:space="preserve"> </w:t>
      </w:r>
      <w:r w:rsidRPr="00EB499A">
        <w:rPr>
          <w:rFonts w:ascii="Calibri" w:hAnsi="Calibri" w:cs="Calibri"/>
          <w:bCs/>
          <w:sz w:val="22"/>
          <w:szCs w:val="22"/>
        </w:rPr>
        <w:t>– znak sprawy</w:t>
      </w:r>
      <w:r w:rsidRPr="00EB499A">
        <w:rPr>
          <w:rFonts w:ascii="Calibri" w:hAnsi="Calibri" w:cs="Calibri"/>
          <w:b/>
          <w:sz w:val="22"/>
          <w:szCs w:val="22"/>
        </w:rPr>
        <w:t xml:space="preserve"> </w:t>
      </w:r>
      <w:r w:rsidR="007D3C08" w:rsidRPr="00EB499A">
        <w:rPr>
          <w:rFonts w:ascii="Calibri" w:hAnsi="Calibri" w:cs="Calibri"/>
          <w:b/>
          <w:sz w:val="22"/>
          <w:szCs w:val="22"/>
        </w:rPr>
        <w:t>ZP/4/2026</w:t>
      </w:r>
      <w:r w:rsidRPr="00EB499A">
        <w:rPr>
          <w:rFonts w:ascii="Calibri" w:hAnsi="Calibri" w:cs="Calibri"/>
          <w:b/>
          <w:sz w:val="22"/>
          <w:szCs w:val="22"/>
        </w:rPr>
        <w:t>.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 xml:space="preserve">Pytania do Załącznik 1.8 pakiet 8, zadanie 5- zestaw pomp infuzyjnych </w:t>
      </w:r>
    </w:p>
    <w:p w:rsidR="00EB499A" w:rsidRPr="00EB499A" w:rsidRDefault="00EB499A" w:rsidP="00EB499A">
      <w:pPr>
        <w:jc w:val="both"/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Dot. Lp. 7 –</w:t>
      </w:r>
      <w:r w:rsidRPr="00EB499A">
        <w:rPr>
          <w:rFonts w:ascii="Calibri" w:hAnsi="Calibri" w:cs="Calibri"/>
          <w:sz w:val="22"/>
          <w:szCs w:val="22"/>
        </w:rPr>
        <w:t xml:space="preserve"> Czy Zamawiający dopuści pompy z  akumulatorem o wadze 2,085 kg?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Odpowiedź: Zamawiający dopuszcza.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EB499A" w:rsidRPr="00EB499A" w:rsidRDefault="00EB499A" w:rsidP="00EB499A">
      <w:pPr>
        <w:jc w:val="both"/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 xml:space="preserve">Dot. Lp. 35 - </w:t>
      </w:r>
      <w:r w:rsidRPr="00EB499A">
        <w:rPr>
          <w:rFonts w:ascii="Calibri" w:hAnsi="Calibri" w:cs="Calibri"/>
          <w:sz w:val="22"/>
          <w:szCs w:val="22"/>
        </w:rPr>
        <w:t>Czy Zamawiający dopuści rozwiązanie polegające na określeniu żywotności akumulatora poprzez deklarowany przez producenta czas jego eksploatacji (np. w latach) w typowych warunkach użytkowania urządzenia? Deklarowana liczba cykli ładowania nie jest parametrem w pełni porównywalnym pomiędzy różnymi producentami, ponieważ zależy od przyjętej metodologii testowej, w szczególności od głębokości rozładowania (</w:t>
      </w:r>
      <w:proofErr w:type="spellStart"/>
      <w:r w:rsidRPr="00EB499A">
        <w:rPr>
          <w:rFonts w:ascii="Calibri" w:hAnsi="Calibri" w:cs="Calibri"/>
          <w:sz w:val="22"/>
          <w:szCs w:val="22"/>
        </w:rPr>
        <w:t>DoD</w:t>
      </w:r>
      <w:proofErr w:type="spellEnd"/>
      <w:r w:rsidRPr="00EB499A">
        <w:rPr>
          <w:rFonts w:ascii="Calibri" w:hAnsi="Calibri" w:cs="Calibri"/>
          <w:sz w:val="22"/>
          <w:szCs w:val="22"/>
        </w:rPr>
        <w:t xml:space="preserve"> – Depth of </w:t>
      </w:r>
      <w:proofErr w:type="spellStart"/>
      <w:r w:rsidRPr="00EB499A">
        <w:rPr>
          <w:rFonts w:ascii="Calibri" w:hAnsi="Calibri" w:cs="Calibri"/>
          <w:sz w:val="22"/>
          <w:szCs w:val="22"/>
        </w:rPr>
        <w:t>Discharge</w:t>
      </w:r>
      <w:proofErr w:type="spellEnd"/>
      <w:r w:rsidRPr="00EB499A">
        <w:rPr>
          <w:rFonts w:ascii="Calibri" w:hAnsi="Calibri" w:cs="Calibri"/>
          <w:sz w:val="22"/>
          <w:szCs w:val="22"/>
        </w:rPr>
        <w:t>), temperatury oraz warunków laboratoryjnych. W praktyce szpitalnej pompy infuzyjne najczęściej pracują podłączone do zasilania sieciowego, a akumulator pełni funkcję zasilania awaryjnego lub transportowego, co powoduje występowanie wielu częściowych cykli ładowania. W związku z tym bardziej miarodajnym i praktycznym parametrem dla użytkownika jest deklarowany czas życia baterii, który uwzględnia zarówno starzenie kalendarzowe, jak i rzeczywiste warunki eksploatacji urządzenia.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Odpowiedź: Zamawiający nie wyraża zgody na zmianę sposobu określenia i oceny przedmiotowego parametru i podtrzymuje dotychczasowe zapisy SWZ.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Uzasadnienie i dodatkowe wyjaśnienia Zamawiającego: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Parametr określający żywotność akumulatora w latach jest wartością wysoce szacunkową, zależną w głównej mierze od intensywności eksploatacji sprzętu, co uniemożliwia obiektywne i matematyczne porównanie ofert w ramach kryteriów oceny. Liczba pełnych cykli ładowania jest standardowym, mierzalnym parametrem technicznym podawanym w specyfikacjach ogniw akumulatorowych.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 xml:space="preserve">Jednocześnie Zamawiający przypomina i doprecyzowuje, że oceniany parametr nie jest parametrem granicznym (warunkującym dopuszczenie oferty), a jedynie kryterium punktowanym. Jeżeli Wykonawca nie jest w stanie podać udokumentowanej wartości parametru w wymagany sposób (tj. w liczbie cykli), jego oferta nie zostanie z tego powodu odrzucona. W takiej sytuacji </w:t>
      </w:r>
      <w:r w:rsidRPr="00EB499A">
        <w:rPr>
          <w:rFonts w:ascii="Calibri" w:hAnsi="Calibri" w:cs="Calibri"/>
          <w:b/>
          <w:bCs/>
          <w:sz w:val="22"/>
          <w:szCs w:val="22"/>
        </w:rPr>
        <w:lastRenderedPageBreak/>
        <w:t>oferta otrzyma 0 punktów w ramach oceny tego konkretnego parametru, natomiast w pełni zachowa ważność i będzie podlegała ocenie w pozostałych kryteriach.</w:t>
      </w:r>
    </w:p>
    <w:p w:rsidR="00EB499A" w:rsidRPr="00EB499A" w:rsidRDefault="00EB499A" w:rsidP="00EB499A">
      <w:pPr>
        <w:jc w:val="both"/>
        <w:rPr>
          <w:rFonts w:ascii="Calibri" w:hAnsi="Calibri" w:cs="Calibri"/>
          <w:sz w:val="22"/>
          <w:szCs w:val="22"/>
        </w:rPr>
      </w:pP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 xml:space="preserve">Pytania do Załącznik 1.8 pakiet 7, zadanie 5- elektrokardiograf </w:t>
      </w:r>
    </w:p>
    <w:p w:rsidR="00EB499A" w:rsidRPr="00EB499A" w:rsidRDefault="00EB499A" w:rsidP="00EB499A">
      <w:pPr>
        <w:jc w:val="both"/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Dot. Lp. 5 -</w:t>
      </w:r>
      <w:r w:rsidRPr="00EB499A">
        <w:rPr>
          <w:rFonts w:ascii="Calibri" w:hAnsi="Calibri" w:cs="Calibri"/>
          <w:sz w:val="22"/>
          <w:szCs w:val="22"/>
        </w:rPr>
        <w:t xml:space="preserve"> Czy Zamawiający dopuści rozwiązanie polegające na określeniu żywotności akumulatora poprzez deklarowany przez producenta czas jego eksploatacji (np. w latach) w typowych warunkach użytkowania urządzenia? Deklarowana liczba cykli ładowania nie jest parametrem w pełni porównywalnym pomiędzy różnymi producentami, ponieważ zależy od przyjętej metodologii testowej, w szczególności od głębokości rozładowania (</w:t>
      </w:r>
      <w:proofErr w:type="spellStart"/>
      <w:r w:rsidRPr="00EB499A">
        <w:rPr>
          <w:rFonts w:ascii="Calibri" w:hAnsi="Calibri" w:cs="Calibri"/>
          <w:sz w:val="22"/>
          <w:szCs w:val="22"/>
        </w:rPr>
        <w:t>DoD</w:t>
      </w:r>
      <w:proofErr w:type="spellEnd"/>
      <w:r w:rsidRPr="00EB499A">
        <w:rPr>
          <w:rFonts w:ascii="Calibri" w:hAnsi="Calibri" w:cs="Calibri"/>
          <w:sz w:val="22"/>
          <w:szCs w:val="22"/>
        </w:rPr>
        <w:t xml:space="preserve"> – Depth of </w:t>
      </w:r>
      <w:proofErr w:type="spellStart"/>
      <w:r w:rsidRPr="00EB499A">
        <w:rPr>
          <w:rFonts w:ascii="Calibri" w:hAnsi="Calibri" w:cs="Calibri"/>
          <w:sz w:val="22"/>
          <w:szCs w:val="22"/>
        </w:rPr>
        <w:t>Discharge</w:t>
      </w:r>
      <w:proofErr w:type="spellEnd"/>
      <w:r w:rsidRPr="00EB499A">
        <w:rPr>
          <w:rFonts w:ascii="Calibri" w:hAnsi="Calibri" w:cs="Calibri"/>
          <w:sz w:val="22"/>
          <w:szCs w:val="22"/>
        </w:rPr>
        <w:t>), temperatury oraz warunków laboratoryjnych. W praktyce szpitalnej pompy infuzyjne najczęściej pracują podłączone do zasilania sieciowego, a akumulator pełni funkcję zasilania awaryjnego lub transportowego, co powoduje występowanie wielu częściowych cykli ładowania. W związku z tym bardziej miarodajnym i praktycznym parametrem dla użytkownika jest deklarowany czas życia baterii, który uwzględnia zarówno starzenie kalendarzowe, jak i rzeczywiste warunki eksploatacji urządzenia.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Odpowiedź: Zamawiający nie wyraża zgody na zmianę sposobu określenia i oceny przedmiotowego parametru i podtrzymuje dotychczasowe zapisy SWZ.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Uzasadnienie i dodatkowe wyjaśnienia Zamawiającego: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Parametr określający żywotność akumulatora w latach jest wartością wysoce szacunkową, zależną w głównej mierze od intensywności eksploatacji sprzętu, co uniemożliwia obiektywne i matematyczne porównanie ofert w ramach kryteriów oceny. Liczba pełnych cykli ładowania jest standardowym, mierzalnym parametrem technicznym podawanym w specyfikacjach ogniw akumulatorowych.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Jednocześnie Zamawiający przypomina i doprecyzowuje, że oceniany parametr nie jest parametrem granicznym (warunkującym dopuszczenie oferty), a jedynie kryterium punktowanym. Jeżeli Wykonawca nie jest w stanie podać udokumentowanej wartości parametru w wymagany sposób (tj. w liczbie cykli), jego oferta nie zostanie z tego powodu odrzucona. W takiej sytuacji oferta otrzyma 0 punktów w ramach oceny tego konkretnego parametru, natomiast w pełni zachowa ważność i będzie podlegała ocenie w pozostałych kryteriach.</w:t>
      </w:r>
    </w:p>
    <w:p w:rsidR="00EB499A" w:rsidRPr="00EB499A" w:rsidRDefault="00EB499A" w:rsidP="00EB499A">
      <w:pPr>
        <w:jc w:val="both"/>
        <w:rPr>
          <w:rFonts w:ascii="Calibri" w:hAnsi="Calibri" w:cs="Calibri"/>
          <w:sz w:val="22"/>
          <w:szCs w:val="22"/>
        </w:rPr>
      </w:pP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Pytania do Załącznik 1.8 pakiet 6, zadanie 5- defibrylator</w:t>
      </w:r>
    </w:p>
    <w:p w:rsidR="00EB499A" w:rsidRPr="00EB499A" w:rsidRDefault="00EB499A" w:rsidP="00EB499A">
      <w:pPr>
        <w:jc w:val="both"/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Dot. Lp. 10 -</w:t>
      </w:r>
      <w:r w:rsidRPr="00EB499A">
        <w:rPr>
          <w:rFonts w:ascii="Calibri" w:hAnsi="Calibri" w:cs="Calibri"/>
          <w:sz w:val="22"/>
          <w:szCs w:val="22"/>
        </w:rPr>
        <w:t xml:space="preserve"> Czy Zamawiający dopuści rozwiązanie polegające na określeniu żywotności akumulatora poprzez deklarowany przez producenta czas jego eksploatacji (np. w latach) w typowych warunkach użytkowania urządzenia? Deklarowana liczba cykli ładowania nie jest parametrem w pełni porównywalnym pomiędzy różnymi producentami, ponieważ zależy od przyjętej metodologii testowej, w szczególności od głębokości rozładowania (</w:t>
      </w:r>
      <w:proofErr w:type="spellStart"/>
      <w:r w:rsidRPr="00EB499A">
        <w:rPr>
          <w:rFonts w:ascii="Calibri" w:hAnsi="Calibri" w:cs="Calibri"/>
          <w:sz w:val="22"/>
          <w:szCs w:val="22"/>
        </w:rPr>
        <w:t>DoD</w:t>
      </w:r>
      <w:proofErr w:type="spellEnd"/>
      <w:r w:rsidRPr="00EB499A">
        <w:rPr>
          <w:rFonts w:ascii="Calibri" w:hAnsi="Calibri" w:cs="Calibri"/>
          <w:sz w:val="22"/>
          <w:szCs w:val="22"/>
        </w:rPr>
        <w:t xml:space="preserve"> – Depth of </w:t>
      </w:r>
      <w:proofErr w:type="spellStart"/>
      <w:r w:rsidRPr="00EB499A">
        <w:rPr>
          <w:rFonts w:ascii="Calibri" w:hAnsi="Calibri" w:cs="Calibri"/>
          <w:sz w:val="22"/>
          <w:szCs w:val="22"/>
        </w:rPr>
        <w:t>Discharge</w:t>
      </w:r>
      <w:proofErr w:type="spellEnd"/>
      <w:r w:rsidRPr="00EB499A">
        <w:rPr>
          <w:rFonts w:ascii="Calibri" w:hAnsi="Calibri" w:cs="Calibri"/>
          <w:sz w:val="22"/>
          <w:szCs w:val="22"/>
        </w:rPr>
        <w:t>), temperatury oraz warunków laboratoryjnych. W praktyce szpitalnej pompy infuzyjne najczęściej pracują podłączone do zasilania sieciowego, a akumulator pełni funkcję zasilania awaryjnego lub transportowego, co powoduje występowanie wielu częściowych cykli ładowania. W związku z tym bardziej miarodajnym i praktycznym parametrem dla użytkownika jest deklarowany czas życia baterii, który uwzględnia zarówno starzenie kalendarzowe, jak i rzeczywiste warunki eksploatacji urządzenia.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Odpowiedź: Zamawiający nie wyraża zgody na zmianę sposobu określenia i oceny przedmiotowego parametru i podtrzymuje dotychczasowe zapisy SWZ.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Uzasadnienie i dodatkowe wyjaśnienia Zamawiającego: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Parametr określający żywotność akumulatora w latach jest wartością wysoce szacunkową, zależną w głównej mierze od intensywności eksploatacji sprzętu, co uniemożliwia obiektywne i matematyczne porównanie ofert w ramach kryteriów oceny. Liczba pełnych cykli ładowania jest standardowym, mierzalnym parametrem technicznym podawanym w specyfikacjach ogniw akumulatorowych.</w:t>
      </w:r>
    </w:p>
    <w:p w:rsidR="00EB499A" w:rsidRPr="00EB499A" w:rsidRDefault="00EB499A" w:rsidP="00EB499A">
      <w:pPr>
        <w:jc w:val="both"/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 xml:space="preserve">Jednocześnie Zamawiający przypomina i doprecyzowuje, że oceniany parametr nie jest parametrem granicznym (warunkującym dopuszczenie oferty), a jedynie kryterium punktowanym. </w:t>
      </w:r>
      <w:r w:rsidRPr="00EB499A">
        <w:rPr>
          <w:rFonts w:ascii="Calibri" w:hAnsi="Calibri" w:cs="Calibri"/>
          <w:b/>
          <w:bCs/>
          <w:sz w:val="22"/>
          <w:szCs w:val="22"/>
        </w:rPr>
        <w:lastRenderedPageBreak/>
        <w:t>Jeżeli Wykonawca nie jest w stanie podać udokumentowanej wartości parametru w wymagany sposób (tj. w liczbie cykli), jego oferta nie zostanie z tego powodu odrzucona. W takiej sytuacji oferta otrzyma 0 punktów w ramach oceny tego konkretnego parametru, natomiast w pełni zachowa ważność i będzie podlegała ocenie w pozostałych kryteriach.</w:t>
      </w:r>
    </w:p>
    <w:p w:rsidR="00EB499A" w:rsidRPr="00EB499A" w:rsidRDefault="00EB499A" w:rsidP="00EB499A">
      <w:pPr>
        <w:jc w:val="both"/>
        <w:rPr>
          <w:rFonts w:ascii="Calibri" w:hAnsi="Calibri" w:cs="Calibri"/>
          <w:sz w:val="22"/>
          <w:szCs w:val="22"/>
        </w:rPr>
      </w:pPr>
    </w:p>
    <w:p w:rsidR="00EB499A" w:rsidRPr="00EB499A" w:rsidRDefault="00EB499A" w:rsidP="00EB499A">
      <w:pPr>
        <w:jc w:val="both"/>
        <w:rPr>
          <w:rFonts w:ascii="Calibri" w:hAnsi="Calibri" w:cs="Calibri"/>
          <w:sz w:val="22"/>
          <w:szCs w:val="22"/>
        </w:rPr>
      </w:pP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 xml:space="preserve">Pytania do Załącznik 1.8 pakiet 1, zadanie 1- </w:t>
      </w:r>
      <w:proofErr w:type="spellStart"/>
      <w:r w:rsidRPr="00EB499A">
        <w:rPr>
          <w:rFonts w:ascii="Calibri" w:hAnsi="Calibri" w:cs="Calibri"/>
          <w:b/>
          <w:bCs/>
          <w:sz w:val="22"/>
          <w:szCs w:val="22"/>
        </w:rPr>
        <w:t>aparatura_do_ciaglego_monitorowania</w:t>
      </w:r>
      <w:proofErr w:type="spellEnd"/>
    </w:p>
    <w:p w:rsidR="00EB499A" w:rsidRPr="00EB499A" w:rsidRDefault="00EB499A" w:rsidP="00EB499A">
      <w:pPr>
        <w:jc w:val="both"/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Dot. Lp. 74 i Lp.16  -</w:t>
      </w:r>
      <w:r w:rsidRPr="00EB499A">
        <w:rPr>
          <w:rFonts w:ascii="Calibri" w:hAnsi="Calibri" w:cs="Calibri"/>
          <w:sz w:val="22"/>
          <w:szCs w:val="22"/>
        </w:rPr>
        <w:t xml:space="preserve"> Czy Zamawiający dopuści rozwiązanie polegające na określeniu żywotności akumulatora poprzez deklarowany przez producenta czas jego eksploatacji (np. w latach) w typowych warunkach użytkowania urządzenia? Deklarowana liczba cykli ładowania nie jest parametrem w pełni porównywalnym pomiędzy różnymi producentami, ponieważ zależy od przyjętej metodologii testowej, w szczególności od głębokości rozładowania (</w:t>
      </w:r>
      <w:proofErr w:type="spellStart"/>
      <w:r w:rsidRPr="00EB499A">
        <w:rPr>
          <w:rFonts w:ascii="Calibri" w:hAnsi="Calibri" w:cs="Calibri"/>
          <w:sz w:val="22"/>
          <w:szCs w:val="22"/>
        </w:rPr>
        <w:t>DoD</w:t>
      </w:r>
      <w:proofErr w:type="spellEnd"/>
      <w:r w:rsidRPr="00EB499A">
        <w:rPr>
          <w:rFonts w:ascii="Calibri" w:hAnsi="Calibri" w:cs="Calibri"/>
          <w:sz w:val="22"/>
          <w:szCs w:val="22"/>
        </w:rPr>
        <w:t xml:space="preserve"> – Depth of </w:t>
      </w:r>
      <w:proofErr w:type="spellStart"/>
      <w:r w:rsidRPr="00EB499A">
        <w:rPr>
          <w:rFonts w:ascii="Calibri" w:hAnsi="Calibri" w:cs="Calibri"/>
          <w:sz w:val="22"/>
          <w:szCs w:val="22"/>
        </w:rPr>
        <w:t>Discharge</w:t>
      </w:r>
      <w:proofErr w:type="spellEnd"/>
      <w:r w:rsidRPr="00EB499A">
        <w:rPr>
          <w:rFonts w:ascii="Calibri" w:hAnsi="Calibri" w:cs="Calibri"/>
          <w:sz w:val="22"/>
          <w:szCs w:val="22"/>
        </w:rPr>
        <w:t>), temperatury oraz warunków laboratoryjnych. W praktyce szpitalnej pompy infuzyjne najczęściej pracują podłączone do zasilania sieciowego, a akumulator pełni funkcję zasilania awaryjnego lub transportowego, co powoduje występowanie wielu częściowych cykli ładowania. W związku z tym bardziej miarodajnym i praktycznym parametrem dla użytkownika jest deklarowany czas życia baterii, który uwzględnia zarówno starzenie kalendarzowe, jak i rzeczywiste warunki eksploatacji urządzenia.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Odpowiedź: Zamawiający nie wyraża zgody na zmianę sposobu określenia i oceny przedmiotowego parametru i podtrzymuje dotychczasowe zapisy SWZ.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Uzasadnienie i dodatkowe wyjaśnienia Zamawiającego:</w:t>
      </w:r>
    </w:p>
    <w:p w:rsidR="00EB499A" w:rsidRPr="00EB499A" w:rsidRDefault="00EB499A" w:rsidP="00EB499A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Parametr określający żywotność akumulatora w latach jest wartością wysoce szacunkową, zależną w głównej mierze od intensywności eksploatacji sprzętu, co uniemożliwia obiektywne i matematyczne porównanie ofert w ramach kryteriów oceny. Liczba pełnych cykli ładowania jest standardowym, mierzalnym parametrem technicznym podawanym w specyfikacjach ogniw akumulatorowych.</w:t>
      </w:r>
    </w:p>
    <w:p w:rsidR="00EB499A" w:rsidRPr="00EB499A" w:rsidRDefault="00EB499A" w:rsidP="00EB499A">
      <w:pPr>
        <w:jc w:val="both"/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b/>
          <w:bCs/>
          <w:sz w:val="22"/>
          <w:szCs w:val="22"/>
        </w:rPr>
        <w:t>Jednocześnie Zamawiający przypomina i doprecyzowuje, że oceniany parametr nie jest parametrem granicznym (warunkującym dopuszczenie oferty), a jedynie kryterium punktowanym. Jeżeli Wykonawca nie jest w stanie podać udokumentowanej wartości parametru w wymagany sposób (tj. w liczbie cykli), jego oferta nie zostanie z tego powodu odrzucona. W takiej sytuacji oferta otrzyma 0 punktów w ramach oceny tego konkretnego parametru, natomiast w pełni zachowa ważność i będzie podlegała ocenie w pozostałych kryteriach.</w:t>
      </w:r>
    </w:p>
    <w:p w:rsidR="00BE7BFD" w:rsidRPr="00EB499A" w:rsidRDefault="00BE7BFD" w:rsidP="00520165">
      <w:pPr>
        <w:jc w:val="both"/>
        <w:rPr>
          <w:rFonts w:ascii="Calibri" w:hAnsi="Calibri" w:cs="Calibri"/>
          <w:sz w:val="22"/>
          <w:szCs w:val="22"/>
        </w:rPr>
      </w:pPr>
    </w:p>
    <w:p w:rsidR="006D4AB3" w:rsidRPr="00EB499A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sz w:val="22"/>
          <w:szCs w:val="22"/>
        </w:rPr>
        <w:t>Przewodniczący Komisji Przetargowej</w:t>
      </w:r>
    </w:p>
    <w:p w:rsidR="006D4AB3" w:rsidRPr="00EB499A" w:rsidRDefault="007D3C08" w:rsidP="00EB499A">
      <w:pPr>
        <w:spacing w:before="120" w:after="120" w:line="360" w:lineRule="auto"/>
        <w:ind w:left="2691" w:firstLine="141"/>
        <w:jc w:val="center"/>
        <w:rPr>
          <w:rFonts w:ascii="Calibri" w:hAnsi="Calibri" w:cs="Calibri"/>
          <w:sz w:val="22"/>
          <w:szCs w:val="22"/>
        </w:rPr>
      </w:pPr>
      <w:r w:rsidRPr="00EB499A">
        <w:rPr>
          <w:rFonts w:ascii="Calibri" w:hAnsi="Calibri" w:cs="Calibri"/>
          <w:sz w:val="22"/>
          <w:szCs w:val="22"/>
        </w:rPr>
        <w:t>Piotr</w:t>
      </w:r>
      <w:r w:rsidR="006D4AB3" w:rsidRPr="00EB499A">
        <w:rPr>
          <w:rFonts w:ascii="Calibri" w:hAnsi="Calibri" w:cs="Calibri"/>
          <w:sz w:val="22"/>
          <w:szCs w:val="22"/>
        </w:rPr>
        <w:t xml:space="preserve"> </w:t>
      </w:r>
      <w:r w:rsidRPr="00EB499A">
        <w:rPr>
          <w:rFonts w:ascii="Calibri" w:hAnsi="Calibri" w:cs="Calibri"/>
          <w:sz w:val="22"/>
          <w:szCs w:val="22"/>
        </w:rPr>
        <w:t>Nowakowski</w:t>
      </w:r>
    </w:p>
    <w:sectPr w:rsidR="006D4AB3" w:rsidRPr="00EB499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969E1" w:rsidRDefault="000969E1">
      <w:r>
        <w:separator/>
      </w:r>
    </w:p>
  </w:endnote>
  <w:endnote w:type="continuationSeparator" w:id="0">
    <w:p w:rsidR="000969E1" w:rsidRDefault="00096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969E1" w:rsidRDefault="000969E1">
      <w:r>
        <w:separator/>
      </w:r>
    </w:p>
  </w:footnote>
  <w:footnote w:type="continuationSeparator" w:id="0">
    <w:p w:rsidR="000969E1" w:rsidRDefault="00096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D3C08" w:rsidRDefault="007D3C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D3C08" w:rsidRDefault="004D4C5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D3C08" w:rsidRDefault="007D3C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04764250">
    <w:abstractNumId w:val="3"/>
  </w:num>
  <w:num w:numId="2" w16cid:durableId="1488666908">
    <w:abstractNumId w:val="6"/>
  </w:num>
  <w:num w:numId="3" w16cid:durableId="378482691">
    <w:abstractNumId w:val="2"/>
  </w:num>
  <w:num w:numId="4" w16cid:durableId="432673519">
    <w:abstractNumId w:val="5"/>
  </w:num>
  <w:num w:numId="5" w16cid:durableId="113792330">
    <w:abstractNumId w:val="0"/>
  </w:num>
  <w:num w:numId="6" w16cid:durableId="1040982651">
    <w:abstractNumId w:val="1"/>
  </w:num>
  <w:num w:numId="7" w16cid:durableId="21010286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69E1"/>
    <w:rsid w:val="00031374"/>
    <w:rsid w:val="000969E1"/>
    <w:rsid w:val="000A1097"/>
    <w:rsid w:val="000A7BE6"/>
    <w:rsid w:val="000E2A8F"/>
    <w:rsid w:val="0012774F"/>
    <w:rsid w:val="00144B7A"/>
    <w:rsid w:val="00180C6E"/>
    <w:rsid w:val="0029606A"/>
    <w:rsid w:val="004848F3"/>
    <w:rsid w:val="004A75F2"/>
    <w:rsid w:val="004D4C5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3C08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499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37B75"/>
  <w15:chartTrackingRefBased/>
  <w15:docId w15:val="{CBC5E1E7-0491-4BF0-A82D-E627A0DC0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B49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3</Pages>
  <Words>1113</Words>
  <Characters>7872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2026-03-12T12:34:00Z</cp:lastPrinted>
  <dcterms:created xsi:type="dcterms:W3CDTF">2026-03-12T08:06:00Z</dcterms:created>
  <dcterms:modified xsi:type="dcterms:W3CDTF">2026-03-12T12:47:00Z</dcterms:modified>
</cp:coreProperties>
</file>