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D43F84" w:rsidRDefault="008516AB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>Kraków</w:t>
      </w:r>
      <w:r w:rsidR="006A5DF1" w:rsidRPr="00D43F84">
        <w:rPr>
          <w:rFonts w:ascii="Calibri" w:hAnsi="Calibri" w:cs="Calibri"/>
          <w:sz w:val="22"/>
          <w:szCs w:val="22"/>
        </w:rPr>
        <w:t xml:space="preserve"> dnia: </w:t>
      </w:r>
      <w:r w:rsidRPr="00D43F84">
        <w:rPr>
          <w:rFonts w:ascii="Calibri" w:hAnsi="Calibri" w:cs="Calibri"/>
          <w:sz w:val="22"/>
          <w:szCs w:val="22"/>
        </w:rPr>
        <w:t>2026-03-1</w:t>
      </w:r>
      <w:r w:rsidR="00D43F84" w:rsidRPr="00D43F84">
        <w:rPr>
          <w:rFonts w:ascii="Calibri" w:hAnsi="Calibri" w:cs="Calibri"/>
          <w:sz w:val="22"/>
          <w:szCs w:val="22"/>
        </w:rPr>
        <w:t>3</w:t>
      </w:r>
    </w:p>
    <w:p w:rsidR="0029606A" w:rsidRPr="00D43F84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D43F84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D43F84" w:rsidRDefault="00BE62A3" w:rsidP="006A5DF1">
      <w:pPr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D43F84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>ul. Prądnicka 35-37</w:t>
      </w:r>
    </w:p>
    <w:p w:rsidR="00BE62A3" w:rsidRPr="00D43F84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>31-202 Kraków</w:t>
      </w:r>
    </w:p>
    <w:p w:rsidR="006A5DF1" w:rsidRPr="00D43F84" w:rsidRDefault="006A5DF1" w:rsidP="00633E89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ab/>
        <w:t xml:space="preserve"> </w:t>
      </w:r>
    </w:p>
    <w:p w:rsidR="006A5DF1" w:rsidRPr="00D43F84" w:rsidRDefault="00633E89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 w:rsidR="006A5DF1" w:rsidRPr="00D43F84">
        <w:rPr>
          <w:rFonts w:ascii="Calibri" w:hAnsi="Calibri" w:cs="Calibri"/>
          <w:b/>
          <w:sz w:val="22"/>
          <w:szCs w:val="22"/>
        </w:rPr>
        <w:t>WYKONAWCY</w:t>
      </w:r>
    </w:p>
    <w:p w:rsidR="006D4AB3" w:rsidRPr="00D43F84" w:rsidRDefault="00633E89" w:rsidP="00633E8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6A5DF1" w:rsidRPr="00D43F84">
        <w:rPr>
          <w:rFonts w:ascii="Calibri" w:hAnsi="Calibri" w:cs="Calibri"/>
          <w:sz w:val="22"/>
          <w:szCs w:val="22"/>
        </w:rPr>
        <w:t>ubiegający się o zamówienie publiczne</w:t>
      </w:r>
    </w:p>
    <w:p w:rsidR="00632C3C" w:rsidRPr="00D43F84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D43F84">
        <w:rPr>
          <w:rFonts w:ascii="Calibri" w:hAnsi="Calibri" w:cs="Calibri"/>
          <w:szCs w:val="28"/>
        </w:rPr>
        <w:t>WYJAŚNIENI</w:t>
      </w:r>
      <w:r w:rsidR="00520165" w:rsidRPr="00D43F84">
        <w:rPr>
          <w:rFonts w:ascii="Calibri" w:hAnsi="Calibri" w:cs="Calibri"/>
          <w:szCs w:val="28"/>
        </w:rPr>
        <w:t>A</w:t>
      </w:r>
      <w:r w:rsidR="00632C3C" w:rsidRPr="00D43F84">
        <w:rPr>
          <w:rFonts w:ascii="Calibri" w:hAnsi="Calibri" w:cs="Calibri"/>
          <w:szCs w:val="28"/>
        </w:rPr>
        <w:t xml:space="preserve"> TREŚCI</w:t>
      </w:r>
      <w:r w:rsidR="0029606A" w:rsidRPr="00D43F84">
        <w:rPr>
          <w:rFonts w:ascii="Calibri" w:hAnsi="Calibri" w:cs="Calibri"/>
          <w:szCs w:val="28"/>
        </w:rPr>
        <w:t xml:space="preserve"> SWZ</w:t>
      </w:r>
      <w:r w:rsidR="00D43F84" w:rsidRPr="00D43F84">
        <w:rPr>
          <w:rFonts w:ascii="Calibri" w:hAnsi="Calibri" w:cs="Calibri"/>
          <w:szCs w:val="28"/>
        </w:rPr>
        <w:t>-</w:t>
      </w:r>
      <w:r w:rsidR="00291994">
        <w:rPr>
          <w:rFonts w:ascii="Calibri" w:hAnsi="Calibri" w:cs="Calibri"/>
          <w:szCs w:val="28"/>
        </w:rPr>
        <w:t>8</w:t>
      </w:r>
    </w:p>
    <w:p w:rsidR="006D4AB3" w:rsidRPr="00D43F84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 xml:space="preserve">Dotyczy: </w:t>
      </w:r>
      <w:r w:rsidR="006A5DF1" w:rsidRPr="00D43F84">
        <w:rPr>
          <w:rFonts w:ascii="Calibri" w:hAnsi="Calibri" w:cs="Calibri"/>
          <w:sz w:val="22"/>
          <w:szCs w:val="22"/>
        </w:rPr>
        <w:t>p</w:t>
      </w:r>
      <w:r w:rsidRPr="00D43F84">
        <w:rPr>
          <w:rFonts w:ascii="Calibri" w:hAnsi="Calibri" w:cs="Calibri"/>
          <w:sz w:val="22"/>
          <w:szCs w:val="22"/>
        </w:rPr>
        <w:t>ostępowani</w:t>
      </w:r>
      <w:r w:rsidR="006A5DF1" w:rsidRPr="00D43F84">
        <w:rPr>
          <w:rFonts w:ascii="Calibri" w:hAnsi="Calibri" w:cs="Calibri"/>
          <w:sz w:val="22"/>
          <w:szCs w:val="22"/>
        </w:rPr>
        <w:t>a</w:t>
      </w:r>
      <w:r w:rsidRPr="00D43F84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D43F84">
        <w:rPr>
          <w:rFonts w:ascii="Calibri" w:hAnsi="Calibri" w:cs="Calibri"/>
          <w:sz w:val="22"/>
          <w:szCs w:val="22"/>
        </w:rPr>
        <w:t>go</w:t>
      </w:r>
      <w:r w:rsidRPr="00D43F84">
        <w:rPr>
          <w:rFonts w:ascii="Calibri" w:hAnsi="Calibri" w:cs="Calibri"/>
          <w:sz w:val="22"/>
          <w:szCs w:val="22"/>
        </w:rPr>
        <w:t xml:space="preserve"> w</w:t>
      </w:r>
      <w:r w:rsidR="00BE62A3" w:rsidRPr="00D43F84">
        <w:rPr>
          <w:rFonts w:ascii="Calibri" w:hAnsi="Calibri" w:cs="Calibri"/>
          <w:sz w:val="22"/>
          <w:szCs w:val="22"/>
        </w:rPr>
        <w:t> </w:t>
      </w:r>
      <w:r w:rsidRPr="00D43F84">
        <w:rPr>
          <w:rFonts w:ascii="Calibri" w:hAnsi="Calibri" w:cs="Calibri"/>
          <w:sz w:val="22"/>
          <w:szCs w:val="22"/>
        </w:rPr>
        <w:t xml:space="preserve">trybie </w:t>
      </w:r>
      <w:r w:rsidR="008516AB" w:rsidRPr="00D43F84">
        <w:rPr>
          <w:rFonts w:ascii="Calibri" w:hAnsi="Calibri" w:cs="Calibri"/>
          <w:sz w:val="22"/>
          <w:szCs w:val="22"/>
        </w:rPr>
        <w:t>przetarg nieograniczony</w:t>
      </w:r>
      <w:r w:rsidRPr="00D43F84">
        <w:rPr>
          <w:rFonts w:ascii="Calibri" w:hAnsi="Calibri" w:cs="Calibri"/>
          <w:b/>
          <w:sz w:val="22"/>
          <w:szCs w:val="22"/>
        </w:rPr>
        <w:t xml:space="preserve"> </w:t>
      </w:r>
      <w:r w:rsidRPr="00D43F84">
        <w:rPr>
          <w:rFonts w:ascii="Calibri" w:hAnsi="Calibri" w:cs="Calibri"/>
          <w:bCs/>
          <w:sz w:val="22"/>
          <w:szCs w:val="22"/>
        </w:rPr>
        <w:t>na</w:t>
      </w:r>
      <w:r w:rsidRPr="00D43F84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D43F84">
        <w:rPr>
          <w:rFonts w:ascii="Calibri" w:hAnsi="Calibri" w:cs="Calibri"/>
          <w:bCs/>
          <w:sz w:val="22"/>
          <w:szCs w:val="22"/>
        </w:rPr>
        <w:t>”</w:t>
      </w:r>
      <w:r w:rsidR="008516AB" w:rsidRPr="00D43F84">
        <w:rPr>
          <w:rFonts w:ascii="Calibri" w:hAnsi="Calibri" w:cs="Calibri"/>
          <w:b/>
          <w:bCs/>
          <w:sz w:val="22"/>
          <w:szCs w:val="22"/>
        </w:rPr>
        <w:t>Zakup urządzeń i wyrobów medycznych przeznaczonych do diagnostyki i leczenia kardiologicznego w Szpitalu Miejskim Specjalistycznym im. Gabriela Narutowicza w Krakowie</w:t>
      </w:r>
      <w:r w:rsidR="00E72428" w:rsidRPr="00D43F84">
        <w:rPr>
          <w:rFonts w:ascii="Calibri" w:hAnsi="Calibri" w:cs="Calibri"/>
          <w:bCs/>
          <w:sz w:val="22"/>
          <w:szCs w:val="22"/>
        </w:rPr>
        <w:t>”</w:t>
      </w:r>
      <w:r w:rsidRPr="00D43F84">
        <w:rPr>
          <w:rFonts w:ascii="Calibri" w:hAnsi="Calibri" w:cs="Calibri"/>
          <w:b/>
          <w:sz w:val="22"/>
          <w:szCs w:val="22"/>
        </w:rPr>
        <w:t xml:space="preserve"> </w:t>
      </w:r>
      <w:r w:rsidRPr="00D43F84">
        <w:rPr>
          <w:rFonts w:ascii="Calibri" w:hAnsi="Calibri" w:cs="Calibri"/>
          <w:bCs/>
          <w:sz w:val="22"/>
          <w:szCs w:val="22"/>
        </w:rPr>
        <w:t>– znak sprawy</w:t>
      </w:r>
      <w:r w:rsidRPr="00D43F84">
        <w:rPr>
          <w:rFonts w:ascii="Calibri" w:hAnsi="Calibri" w:cs="Calibri"/>
          <w:b/>
          <w:sz w:val="22"/>
          <w:szCs w:val="22"/>
        </w:rPr>
        <w:t xml:space="preserve"> </w:t>
      </w:r>
      <w:r w:rsidR="008516AB" w:rsidRPr="00D43F84">
        <w:rPr>
          <w:rFonts w:ascii="Calibri" w:hAnsi="Calibri" w:cs="Calibri"/>
          <w:b/>
          <w:sz w:val="22"/>
          <w:szCs w:val="22"/>
        </w:rPr>
        <w:t>ZP/4/2026</w:t>
      </w:r>
      <w:r w:rsidRPr="00D43F84">
        <w:rPr>
          <w:rFonts w:ascii="Calibri" w:hAnsi="Calibri" w:cs="Calibri"/>
          <w:b/>
          <w:sz w:val="22"/>
          <w:szCs w:val="22"/>
        </w:rPr>
        <w:t>.</w:t>
      </w:r>
    </w:p>
    <w:p w:rsidR="00D43F84" w:rsidRPr="00D43F84" w:rsidRDefault="00520165" w:rsidP="00D43F84">
      <w:pPr>
        <w:spacing w:after="240" w:line="276" w:lineRule="auto"/>
        <w:jc w:val="both"/>
        <w:rPr>
          <w:rFonts w:ascii="Calibri" w:hAnsi="Calibri" w:cs="Calibri"/>
          <w:bCs/>
          <w:sz w:val="22"/>
          <w:szCs w:val="22"/>
          <w:lang w:eastAsia="ar-SA"/>
        </w:rPr>
      </w:pPr>
      <w:r w:rsidRPr="00D43F84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D43F84">
        <w:rPr>
          <w:rFonts w:ascii="Calibri" w:hAnsi="Calibri" w:cs="Calibri"/>
          <w:sz w:val="22"/>
          <w:szCs w:val="22"/>
        </w:rPr>
        <w:t>1</w:t>
      </w:r>
      <w:r w:rsidRPr="00D43F84">
        <w:rPr>
          <w:rFonts w:ascii="Calibri" w:hAnsi="Calibri" w:cs="Calibri"/>
          <w:sz w:val="22"/>
          <w:szCs w:val="22"/>
        </w:rPr>
        <w:t>3</w:t>
      </w:r>
      <w:r w:rsidR="0029606A" w:rsidRPr="00D43F84">
        <w:rPr>
          <w:rFonts w:ascii="Calibri" w:hAnsi="Calibri" w:cs="Calibri"/>
          <w:sz w:val="22"/>
          <w:szCs w:val="22"/>
        </w:rPr>
        <w:t>5</w:t>
      </w:r>
      <w:r w:rsidRPr="00D43F84">
        <w:rPr>
          <w:rFonts w:ascii="Calibri" w:hAnsi="Calibri" w:cs="Calibri"/>
          <w:sz w:val="22"/>
          <w:szCs w:val="22"/>
        </w:rPr>
        <w:t xml:space="preserve"> ust</w:t>
      </w:r>
      <w:r w:rsidR="00D9049C" w:rsidRPr="00D43F84">
        <w:rPr>
          <w:rFonts w:ascii="Calibri" w:hAnsi="Calibri" w:cs="Calibri"/>
          <w:sz w:val="22"/>
          <w:szCs w:val="22"/>
        </w:rPr>
        <w:t xml:space="preserve">. </w:t>
      </w:r>
      <w:r w:rsidR="0029606A" w:rsidRPr="00D43F84">
        <w:rPr>
          <w:rFonts w:ascii="Calibri" w:hAnsi="Calibri" w:cs="Calibri"/>
          <w:sz w:val="22"/>
          <w:szCs w:val="22"/>
        </w:rPr>
        <w:t>6</w:t>
      </w:r>
      <w:r w:rsidRPr="00D43F84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D43F84">
        <w:rPr>
          <w:rFonts w:ascii="Calibri" w:hAnsi="Calibri" w:cs="Calibri"/>
          <w:sz w:val="22"/>
          <w:szCs w:val="22"/>
        </w:rPr>
        <w:t>11</w:t>
      </w:r>
      <w:r w:rsidRPr="00D43F84">
        <w:rPr>
          <w:rFonts w:ascii="Calibri" w:hAnsi="Calibri" w:cs="Calibri"/>
          <w:sz w:val="22"/>
          <w:szCs w:val="22"/>
        </w:rPr>
        <w:t xml:space="preserve"> </w:t>
      </w:r>
      <w:r w:rsidR="0029606A" w:rsidRPr="00D43F84">
        <w:rPr>
          <w:rFonts w:ascii="Calibri" w:hAnsi="Calibri" w:cs="Calibri"/>
          <w:sz w:val="22"/>
          <w:szCs w:val="22"/>
        </w:rPr>
        <w:t xml:space="preserve">września </w:t>
      </w:r>
      <w:r w:rsidRPr="00D43F84">
        <w:rPr>
          <w:rFonts w:ascii="Calibri" w:hAnsi="Calibri" w:cs="Calibri"/>
          <w:sz w:val="22"/>
          <w:szCs w:val="22"/>
        </w:rPr>
        <w:t>20</w:t>
      </w:r>
      <w:r w:rsidR="0029606A" w:rsidRPr="00D43F84">
        <w:rPr>
          <w:rFonts w:ascii="Calibri" w:hAnsi="Calibri" w:cs="Calibri"/>
          <w:sz w:val="22"/>
          <w:szCs w:val="22"/>
        </w:rPr>
        <w:t>19</w:t>
      </w:r>
      <w:r w:rsidR="00BE62A3" w:rsidRPr="00D43F84">
        <w:rPr>
          <w:rFonts w:ascii="Calibri" w:hAnsi="Calibri" w:cs="Calibri"/>
          <w:sz w:val="22"/>
          <w:szCs w:val="22"/>
        </w:rPr>
        <w:t> </w:t>
      </w:r>
      <w:r w:rsidRPr="00D43F84">
        <w:rPr>
          <w:rFonts w:ascii="Calibri" w:hAnsi="Calibri" w:cs="Calibri"/>
          <w:sz w:val="22"/>
          <w:szCs w:val="22"/>
        </w:rPr>
        <w:t>r</w:t>
      </w:r>
      <w:r w:rsidR="0029606A" w:rsidRPr="00D43F84">
        <w:rPr>
          <w:rFonts w:ascii="Calibri" w:hAnsi="Calibri" w:cs="Calibri"/>
          <w:sz w:val="22"/>
          <w:szCs w:val="22"/>
        </w:rPr>
        <w:t>.</w:t>
      </w:r>
      <w:r w:rsidRPr="00D43F84">
        <w:rPr>
          <w:rFonts w:ascii="Calibri" w:hAnsi="Calibri" w:cs="Calibri"/>
          <w:sz w:val="22"/>
          <w:szCs w:val="22"/>
        </w:rPr>
        <w:t xml:space="preserve"> Prawo </w:t>
      </w:r>
      <w:r w:rsidR="0029606A" w:rsidRPr="00D43F84">
        <w:rPr>
          <w:rFonts w:ascii="Calibri" w:hAnsi="Calibri" w:cs="Calibri"/>
          <w:sz w:val="22"/>
          <w:szCs w:val="22"/>
        </w:rPr>
        <w:t>z</w:t>
      </w:r>
      <w:r w:rsidRPr="00D43F84">
        <w:rPr>
          <w:rFonts w:ascii="Calibri" w:hAnsi="Calibri" w:cs="Calibri"/>
          <w:sz w:val="22"/>
          <w:szCs w:val="22"/>
        </w:rPr>
        <w:t xml:space="preserve">amówień </w:t>
      </w:r>
      <w:r w:rsidR="0029606A" w:rsidRPr="00D43F84">
        <w:rPr>
          <w:rFonts w:ascii="Calibri" w:hAnsi="Calibri" w:cs="Calibri"/>
          <w:sz w:val="22"/>
          <w:szCs w:val="22"/>
        </w:rPr>
        <w:t>p</w:t>
      </w:r>
      <w:r w:rsidRPr="00D43F84">
        <w:rPr>
          <w:rFonts w:ascii="Calibri" w:hAnsi="Calibri" w:cs="Calibri"/>
          <w:sz w:val="22"/>
          <w:szCs w:val="22"/>
        </w:rPr>
        <w:t>ublicznych</w:t>
      </w:r>
      <w:r w:rsidR="00BE7BFD" w:rsidRPr="00D43F84">
        <w:rPr>
          <w:rFonts w:ascii="Calibri" w:hAnsi="Calibri" w:cs="Calibri"/>
          <w:sz w:val="22"/>
          <w:szCs w:val="22"/>
        </w:rPr>
        <w:t xml:space="preserve"> </w:t>
      </w:r>
      <w:r w:rsidR="00D9049C" w:rsidRPr="00D43F84">
        <w:rPr>
          <w:rFonts w:ascii="Calibri" w:hAnsi="Calibri" w:cs="Calibri"/>
          <w:sz w:val="22"/>
          <w:szCs w:val="22"/>
        </w:rPr>
        <w:t>udostępnia</w:t>
      </w:r>
      <w:r w:rsidR="00BE7BFD" w:rsidRPr="00D43F84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D43F84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D43F84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D43F84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D43F84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D43F84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D43F84">
        <w:rPr>
          <w:rFonts w:ascii="Calibri" w:hAnsi="Calibri" w:cs="Calibri"/>
          <w:sz w:val="22"/>
          <w:szCs w:val="22"/>
        </w:rPr>
        <w:t>wraz z wyjaśnieniami</w:t>
      </w:r>
    </w:p>
    <w:p w:rsidR="00D43F84" w:rsidRPr="00D43F84" w:rsidRDefault="00D43F84" w:rsidP="00D43F84">
      <w:pPr>
        <w:spacing w:after="240"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Pytanie dotyczy pakietu:</w:t>
      </w:r>
    </w:p>
    <w:p w:rsidR="00D43F84" w:rsidRPr="00D43F84" w:rsidRDefault="00D43F84" w:rsidP="00D43F84">
      <w:pPr>
        <w:spacing w:after="24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Zadanie nr 1 - Kamień milowy nr 1 - Zakup aparatury do ciągłego monitorowania podstawowych parametrów układu krążenia</w:t>
      </w: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 xml:space="preserve">Pytanie 1. Czy Zamawiający  przydzieli 5 pkt w pkt 8 kardiomonitorów za ekran </w:t>
      </w:r>
      <w:proofErr w:type="spellStart"/>
      <w:r w:rsidRPr="00D43F84">
        <w:rPr>
          <w:rFonts w:ascii="Calibri" w:hAnsi="Calibri" w:cs="Calibri"/>
          <w:sz w:val="22"/>
          <w:szCs w:val="22"/>
        </w:rPr>
        <w:t>full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HD? Czy zamawiający będzie oczekiwał rozdzielczości </w:t>
      </w:r>
      <w:proofErr w:type="spellStart"/>
      <w:r w:rsidRPr="00D43F84">
        <w:rPr>
          <w:rFonts w:ascii="Calibri" w:hAnsi="Calibri" w:cs="Calibri"/>
          <w:sz w:val="22"/>
          <w:szCs w:val="22"/>
        </w:rPr>
        <w:t>full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HD bezwzględnie ?</w:t>
      </w:r>
    </w:p>
    <w:p w:rsidR="00D43F84" w:rsidRPr="00D43F84" w:rsidRDefault="00D43F84" w:rsidP="00D43F84">
      <w:pPr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 xml:space="preserve">Odpowiedź: Zamawiający nie będzie wymagał rozdzielczości </w:t>
      </w:r>
      <w:proofErr w:type="spellStart"/>
      <w:r w:rsidRPr="00D43F84">
        <w:rPr>
          <w:rFonts w:ascii="Calibri" w:hAnsi="Calibri" w:cs="Calibri"/>
          <w:b/>
          <w:bCs/>
          <w:sz w:val="22"/>
          <w:szCs w:val="22"/>
        </w:rPr>
        <w:t>fullHD</w:t>
      </w:r>
      <w:proofErr w:type="spellEnd"/>
      <w:r w:rsidRPr="00D43F84">
        <w:rPr>
          <w:rFonts w:ascii="Calibri" w:hAnsi="Calibri" w:cs="Calibri"/>
          <w:b/>
          <w:bCs/>
          <w:sz w:val="22"/>
          <w:szCs w:val="22"/>
        </w:rPr>
        <w:t xml:space="preserve"> bezwzględnie, ale przydzieli 5 pkt. za rozdzielczość min. 1920x1080.</w:t>
      </w:r>
    </w:p>
    <w:p w:rsidR="00D43F84" w:rsidRPr="00D43F84" w:rsidRDefault="00D43F84" w:rsidP="00D43F84">
      <w:pPr>
        <w:rPr>
          <w:rFonts w:ascii="Calibri" w:hAnsi="Calibri" w:cs="Calibri"/>
          <w:b/>
          <w:bCs/>
          <w:sz w:val="22"/>
          <w:szCs w:val="22"/>
        </w:rPr>
      </w:pP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lastRenderedPageBreak/>
        <w:t xml:space="preserve">Pytanie 2  Czy Zmawiający  będzie wymagał zaoferowania markowej saturację taką jak </w:t>
      </w:r>
      <w:proofErr w:type="spellStart"/>
      <w:r w:rsidRPr="00D43F84">
        <w:rPr>
          <w:rFonts w:ascii="Calibri" w:hAnsi="Calibri" w:cs="Calibri"/>
          <w:sz w:val="22"/>
          <w:szCs w:val="22"/>
        </w:rPr>
        <w:t>Nellcor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/ </w:t>
      </w:r>
      <w:proofErr w:type="spellStart"/>
      <w:r w:rsidRPr="00D43F84">
        <w:rPr>
          <w:rFonts w:ascii="Calibri" w:hAnsi="Calibri" w:cs="Calibri"/>
          <w:sz w:val="22"/>
          <w:szCs w:val="22"/>
        </w:rPr>
        <w:t>Masimo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43F84">
        <w:rPr>
          <w:rFonts w:ascii="Calibri" w:hAnsi="Calibri" w:cs="Calibri"/>
          <w:sz w:val="22"/>
          <w:szCs w:val="22"/>
        </w:rPr>
        <w:t>Rainbow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/ FAST ?</w:t>
      </w:r>
    </w:p>
    <w:p w:rsidR="00D43F84" w:rsidRPr="00D43F84" w:rsidRDefault="00D43F84" w:rsidP="00D43F84">
      <w:pPr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Odpowiedź: Zamawiający nie wymaga żadnej konkretnej technologii pomiaru saturacji, jednak przypomina, że pomiar SpO2 w zakresie min. 70-100% nie może mieć dokładności gorszej niż +/-2%.</w:t>
      </w: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 xml:space="preserve">Pytanie 3 Czy Zmawiający przydzieli 10 pkt za monitor, który może podpiąć metoda </w:t>
      </w:r>
      <w:proofErr w:type="spellStart"/>
      <w:r w:rsidRPr="00D43F84">
        <w:rPr>
          <w:rFonts w:ascii="Calibri" w:hAnsi="Calibri" w:cs="Calibri"/>
          <w:sz w:val="22"/>
          <w:szCs w:val="22"/>
        </w:rPr>
        <w:t>plug&amp;play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temperaturę typu </w:t>
      </w:r>
      <w:proofErr w:type="spellStart"/>
      <w:r w:rsidRPr="00D43F84">
        <w:rPr>
          <w:rFonts w:ascii="Calibri" w:hAnsi="Calibri" w:cs="Calibri"/>
          <w:sz w:val="22"/>
          <w:szCs w:val="22"/>
        </w:rPr>
        <w:t>SpotCheck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w technologii pomiaru temperatury przewidywanej z ucha lub </w:t>
      </w:r>
      <w:proofErr w:type="spellStart"/>
      <w:r w:rsidRPr="00D43F84">
        <w:rPr>
          <w:rFonts w:ascii="Calibri" w:hAnsi="Calibri" w:cs="Calibri"/>
          <w:sz w:val="22"/>
          <w:szCs w:val="22"/>
        </w:rPr>
        <w:t>np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z pod pachy / pod języka ?</w:t>
      </w:r>
    </w:p>
    <w:p w:rsidR="00D43F84" w:rsidRPr="00D43F84" w:rsidRDefault="00D43F84" w:rsidP="00D43F84">
      <w:pPr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Odpowiedź: Nie, Zamawiający nie przyzna dodatkowych punktów za opisaną funkcjonalność.</w:t>
      </w: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>Pytanie 4 dot. centrala pkt 91 – Czy Zamawiający przyzna 10 pkt za ekrany min 27”  ?</w:t>
      </w:r>
    </w:p>
    <w:p w:rsidR="00D43F84" w:rsidRPr="00D43F84" w:rsidRDefault="00D43F84" w:rsidP="00D43F84">
      <w:pPr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Odpowiedź: Nie</w:t>
      </w: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 xml:space="preserve">Pytanie 5 Czy Zamawiający  będzie oczekiwał, aby pomiar kapnografii był markowej technologii jak </w:t>
      </w:r>
      <w:proofErr w:type="spellStart"/>
      <w:r w:rsidRPr="00D43F84">
        <w:rPr>
          <w:rFonts w:ascii="Calibri" w:hAnsi="Calibri" w:cs="Calibri"/>
          <w:sz w:val="22"/>
          <w:szCs w:val="22"/>
        </w:rPr>
        <w:t>Microstrream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lub </w:t>
      </w:r>
      <w:proofErr w:type="spellStart"/>
      <w:r w:rsidRPr="00D43F84">
        <w:rPr>
          <w:rFonts w:ascii="Calibri" w:hAnsi="Calibri" w:cs="Calibri"/>
          <w:sz w:val="22"/>
          <w:szCs w:val="22"/>
        </w:rPr>
        <w:t>Respironics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lub </w:t>
      </w:r>
      <w:proofErr w:type="spellStart"/>
      <w:r w:rsidRPr="00D43F84">
        <w:rPr>
          <w:rFonts w:ascii="Calibri" w:hAnsi="Calibri" w:cs="Calibri"/>
          <w:sz w:val="22"/>
          <w:szCs w:val="22"/>
        </w:rPr>
        <w:t>Masimo</w:t>
      </w:r>
      <w:proofErr w:type="spellEnd"/>
      <w:r w:rsidRPr="00D43F84">
        <w:rPr>
          <w:rFonts w:ascii="Calibri" w:hAnsi="Calibri" w:cs="Calibri"/>
          <w:sz w:val="22"/>
          <w:szCs w:val="22"/>
        </w:rPr>
        <w:t xml:space="preserve"> ?</w:t>
      </w:r>
    </w:p>
    <w:p w:rsidR="00D43F84" w:rsidRPr="00D43F84" w:rsidRDefault="00D43F84" w:rsidP="00D43F84">
      <w:pPr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Odpowiedź: Zamawiający nie wymaga żadnej konkretnej technologii pomiaru kapnografii.</w:t>
      </w:r>
    </w:p>
    <w:p w:rsidR="00D43F84" w:rsidRPr="00D43F84" w:rsidRDefault="00D43F84" w:rsidP="00D43F84">
      <w:pPr>
        <w:rPr>
          <w:rFonts w:ascii="Calibri" w:hAnsi="Calibri" w:cs="Calibri"/>
          <w:sz w:val="22"/>
          <w:szCs w:val="22"/>
        </w:rPr>
      </w:pPr>
    </w:p>
    <w:p w:rsidR="00D43F84" w:rsidRPr="00D43F84" w:rsidRDefault="00D43F84" w:rsidP="00D43F84">
      <w:pPr>
        <w:pStyle w:val="Nagwek1"/>
        <w:rPr>
          <w:rFonts w:ascii="Calibri" w:hAnsi="Calibri" w:cs="Calibri"/>
          <w:b w:val="0"/>
          <w:sz w:val="22"/>
          <w:szCs w:val="22"/>
        </w:rPr>
      </w:pPr>
      <w:r w:rsidRPr="00D43F84">
        <w:rPr>
          <w:rFonts w:ascii="Calibri" w:hAnsi="Calibri" w:cs="Calibri"/>
          <w:b w:val="0"/>
          <w:bCs/>
          <w:sz w:val="22"/>
          <w:szCs w:val="22"/>
        </w:rPr>
        <w:t>Pytanie 6- Czy Zamawiający dopuści na zasadzie równoważności  monitorowanie opisane poniżej ?</w:t>
      </w:r>
    </w:p>
    <w:p w:rsidR="00D43F84" w:rsidRPr="00D43F84" w:rsidRDefault="00D43F84">
      <w:pPr>
        <w:rPr>
          <w:rFonts w:ascii="Calibri" w:hAnsi="Calibri" w:cs="Calibri"/>
          <w:sz w:val="22"/>
          <w:szCs w:val="22"/>
        </w:rPr>
      </w:pPr>
      <w:r w:rsidRPr="00D43F84">
        <w:rPr>
          <w:rFonts w:ascii="Calibri" w:hAnsi="Calibri" w:cs="Calibri"/>
          <w:sz w:val="22"/>
          <w:szCs w:val="22"/>
        </w:rPr>
        <w:t xml:space="preserve">( na czerwono zostały zaznaczone różnice oraz wykreślone parametry, które nie są spełnione  )  </w:t>
      </w:r>
    </w:p>
    <w:p w:rsidR="006D4AB3" w:rsidRDefault="00D43F84" w:rsidP="00D43F84">
      <w:pPr>
        <w:spacing w:before="120" w:after="120" w:line="360" w:lineRule="auto"/>
        <w:rPr>
          <w:rFonts w:ascii="Calibri" w:hAnsi="Calibri" w:cs="Calibri"/>
          <w:b/>
          <w:bCs/>
          <w:sz w:val="22"/>
          <w:szCs w:val="22"/>
        </w:rPr>
      </w:pPr>
      <w:r w:rsidRPr="00D43F84">
        <w:rPr>
          <w:rFonts w:ascii="Calibri" w:hAnsi="Calibri" w:cs="Calibri"/>
          <w:b/>
          <w:bCs/>
          <w:sz w:val="22"/>
          <w:szCs w:val="22"/>
        </w:rPr>
        <w:t>Odpowiedź: Zamawiający odnosi się do każdej proponowanej zmiany w kolumnie „Parametr oferowany”. Odpowiedzi w kolorze zielonym.</w:t>
      </w:r>
    </w:p>
    <w:tbl>
      <w:tblPr>
        <w:tblW w:w="14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3781"/>
        <w:gridCol w:w="1614"/>
        <w:gridCol w:w="1439"/>
        <w:gridCol w:w="4244"/>
        <w:gridCol w:w="1698"/>
        <w:gridCol w:w="1421"/>
      </w:tblGrid>
      <w:tr w:rsidR="00633E89" w:rsidRPr="00633E89"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keepNext/>
              <w:spacing w:line="256" w:lineRule="auto"/>
              <w:outlineLvl w:val="0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633E89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KARDIOMONITOR – 11 SZTUK</w:t>
            </w:r>
          </w:p>
          <w:p w:rsidR="00633E89" w:rsidRPr="00633E89" w:rsidRDefault="00633E89" w:rsidP="00633E89">
            <w:pPr>
              <w:keepNext/>
              <w:spacing w:line="256" w:lineRule="auto"/>
              <w:outlineLvl w:val="0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633E89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KARDIOMONITOR Z MODUŁEM KAPNOGRAFII – 4 SZTUKI</w:t>
            </w:r>
          </w:p>
        </w:tc>
      </w:tr>
      <w:tr w:rsidR="00633E89" w:rsidRPr="00633E89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33E89">
              <w:rPr>
                <w:rFonts w:ascii="Arial" w:hAnsi="Arial" w:cs="Arial"/>
                <w:sz w:val="18"/>
                <w:szCs w:val="18"/>
                <w:lang w:eastAsia="en-US"/>
              </w:rPr>
              <w:t>Nazwa urządzenia:</w:t>
            </w:r>
          </w:p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33E89">
              <w:rPr>
                <w:rFonts w:ascii="Arial" w:hAnsi="Arial" w:cs="Arial"/>
                <w:sz w:val="18"/>
                <w:szCs w:val="18"/>
                <w:lang w:eastAsia="en-US"/>
              </w:rPr>
              <w:t>model, nr katalogowy, klasa wyrobu medycznego</w:t>
            </w:r>
          </w:p>
        </w:tc>
        <w:tc>
          <w:tcPr>
            <w:tcW w:w="10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33E89" w:rsidRPr="00633E89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33E89">
              <w:rPr>
                <w:rFonts w:ascii="Arial" w:hAnsi="Arial" w:cs="Arial"/>
                <w:sz w:val="18"/>
                <w:szCs w:val="18"/>
                <w:lang w:eastAsia="en-US"/>
              </w:rPr>
              <w:t>Producent:</w:t>
            </w:r>
          </w:p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33E89">
              <w:rPr>
                <w:rFonts w:ascii="Arial" w:hAnsi="Arial" w:cs="Arial"/>
                <w:sz w:val="18"/>
                <w:szCs w:val="18"/>
                <w:lang w:eastAsia="en-US"/>
              </w:rPr>
              <w:t>pełna nazwa, adres, strona www</w:t>
            </w:r>
          </w:p>
        </w:tc>
        <w:tc>
          <w:tcPr>
            <w:tcW w:w="10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33E89" w:rsidRPr="00633E89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33E89">
              <w:rPr>
                <w:rFonts w:ascii="Arial" w:hAnsi="Arial" w:cs="Arial"/>
                <w:sz w:val="18"/>
                <w:szCs w:val="18"/>
                <w:lang w:eastAsia="en-US"/>
              </w:rPr>
              <w:t>Kraj produkcji:</w:t>
            </w:r>
          </w:p>
        </w:tc>
        <w:tc>
          <w:tcPr>
            <w:tcW w:w="10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33E89" w:rsidRPr="00633E89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33E89">
              <w:rPr>
                <w:rFonts w:ascii="Arial" w:hAnsi="Arial" w:cs="Arial"/>
                <w:sz w:val="18"/>
                <w:szCs w:val="18"/>
                <w:lang w:eastAsia="en-US"/>
              </w:rPr>
              <w:t>Rok produkcji:  ≥2025 – parametr wymagany</w:t>
            </w:r>
          </w:p>
        </w:tc>
        <w:tc>
          <w:tcPr>
            <w:tcW w:w="10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keepNext/>
              <w:keepLines/>
              <w:spacing w:before="40" w:line="256" w:lineRule="auto"/>
              <w:outlineLvl w:val="5"/>
              <w:rPr>
                <w:rFonts w:ascii="Calibri Light" w:hAnsi="Calibri Light"/>
                <w:color w:val="1F3763"/>
                <w:sz w:val="18"/>
                <w:szCs w:val="18"/>
                <w:lang w:eastAsia="en-US"/>
              </w:rPr>
            </w:pPr>
            <w:r w:rsidRPr="00633E89">
              <w:rPr>
                <w:rFonts w:ascii="Calibri Light" w:hAnsi="Calibri Light"/>
                <w:color w:val="1F3763"/>
                <w:sz w:val="18"/>
                <w:szCs w:val="18"/>
                <w:lang w:eastAsia="en-US"/>
              </w:rPr>
              <w:lastRenderedPageBreak/>
              <w:t>Lp</w:t>
            </w: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>Punktacja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keepNext/>
              <w:keepLines/>
              <w:spacing w:before="40" w:line="276" w:lineRule="auto"/>
              <w:jc w:val="center"/>
              <w:outlineLvl w:val="1"/>
              <w:rPr>
                <w:rFonts w:ascii="Calibri Light" w:hAnsi="Calibri Light"/>
                <w:color w:val="2F5496"/>
                <w:sz w:val="18"/>
                <w:szCs w:val="18"/>
                <w:lang w:eastAsia="en-US"/>
              </w:rPr>
            </w:pPr>
            <w:r w:rsidRPr="00633E89">
              <w:rPr>
                <w:rFonts w:ascii="Calibri Light" w:hAnsi="Calibri Light"/>
                <w:color w:val="2F5496"/>
                <w:sz w:val="18"/>
                <w:szCs w:val="18"/>
                <w:lang w:eastAsia="en-US"/>
              </w:rPr>
              <w:t xml:space="preserve">Ocena Komisji </w:t>
            </w:r>
          </w:p>
          <w:p w:rsidR="00633E89" w:rsidRPr="00633E89" w:rsidRDefault="00633E89" w:rsidP="00633E89">
            <w:pPr>
              <w:keepNext/>
              <w:keepLines/>
              <w:spacing w:before="40" w:line="276" w:lineRule="auto"/>
              <w:jc w:val="center"/>
              <w:outlineLvl w:val="1"/>
              <w:rPr>
                <w:rFonts w:ascii="Calibri Light" w:hAnsi="Calibri Light"/>
                <w:b/>
                <w:color w:val="2F5496"/>
                <w:sz w:val="18"/>
                <w:szCs w:val="18"/>
                <w:lang w:eastAsia="en-US"/>
              </w:rPr>
            </w:pPr>
            <w:r w:rsidRPr="00633E89">
              <w:rPr>
                <w:rFonts w:ascii="Calibri Light" w:hAnsi="Calibri Light"/>
                <w:b/>
                <w:color w:val="2F5496"/>
                <w:sz w:val="18"/>
                <w:szCs w:val="18"/>
                <w:lang w:eastAsia="en-US"/>
              </w:rPr>
              <w:t xml:space="preserve">spełnia / </w:t>
            </w:r>
          </w:p>
          <w:p w:rsidR="00633E89" w:rsidRPr="00633E89" w:rsidRDefault="00633E89" w:rsidP="00633E89">
            <w:pPr>
              <w:keepNext/>
              <w:keepLines/>
              <w:spacing w:before="40" w:line="276" w:lineRule="auto"/>
              <w:jc w:val="center"/>
              <w:outlineLvl w:val="1"/>
              <w:rPr>
                <w:rFonts w:ascii="Calibri Light" w:hAnsi="Calibri Light"/>
                <w:b/>
                <w:color w:val="2F5496"/>
                <w:sz w:val="18"/>
                <w:szCs w:val="18"/>
                <w:lang w:eastAsia="en-US"/>
              </w:rPr>
            </w:pPr>
            <w:r w:rsidRPr="00633E89">
              <w:rPr>
                <w:rFonts w:ascii="Calibri Light" w:hAnsi="Calibri Light"/>
                <w:b/>
                <w:color w:val="2F5496"/>
                <w:sz w:val="18"/>
                <w:szCs w:val="18"/>
                <w:lang w:eastAsia="en-US"/>
              </w:rPr>
              <w:t>nie spełnia</w:t>
            </w:r>
          </w:p>
        </w:tc>
      </w:tr>
      <w:tr w:rsidR="00633E89" w:rsidRPr="00633E89">
        <w:trPr>
          <w:cantSplit/>
        </w:trPr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keepNext/>
              <w:keepLines/>
              <w:numPr>
                <w:ilvl w:val="0"/>
                <w:numId w:val="9"/>
              </w:numPr>
              <w:spacing w:before="40" w:after="160" w:line="276" w:lineRule="auto"/>
              <w:ind w:left="720"/>
              <w:outlineLvl w:val="1"/>
              <w:rPr>
                <w:rFonts w:ascii="Calibri Light" w:hAnsi="Calibri Light"/>
                <w:color w:val="2F5496"/>
                <w:sz w:val="18"/>
                <w:szCs w:val="18"/>
                <w:lang w:eastAsia="en-US"/>
              </w:rPr>
            </w:pPr>
            <w:r w:rsidRPr="00633E89">
              <w:rPr>
                <w:rFonts w:ascii="Calibri Light" w:hAnsi="Calibri Light"/>
                <w:color w:val="2F5496"/>
                <w:sz w:val="18"/>
                <w:szCs w:val="18"/>
                <w:lang w:val="en-US" w:eastAsia="en-US"/>
              </w:rPr>
              <w:t>INFORMACJE OGÓLNE</w:t>
            </w: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Urządzenie fabryczne nowe,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niepowystawowe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w najnowszej wersji sprzętowej na dzień składania oferty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Deklaracja zgodności producenta potwierdzająca, że oferowany wyrób medyczny spełnia wymagania Rozporządzenia Parlamentu Europejskiego i Rady (UE) 2017/745 (MDR) oraz jest oznakowany znakiem CE.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W przypadku wyrobów wprowadzonych do obrotu na podstawie przepisów przejściowych, zgodnie z art. 120 ust. 2 i 3 MDR, dopuszcza się złożenie deklaracji zgodności producenta na zgodność z dyrektywą 93/42/EEC (MDD), wraz z potwierdzeniem możliwości dalszego wprowadzania wyrobu do obrotu na podstawie przepisów przejściowych MDR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keepNext/>
              <w:keepLines/>
              <w:numPr>
                <w:ilvl w:val="0"/>
                <w:numId w:val="9"/>
              </w:numPr>
              <w:spacing w:before="40" w:after="160" w:line="276" w:lineRule="auto"/>
              <w:ind w:left="720"/>
              <w:outlineLvl w:val="1"/>
              <w:rPr>
                <w:rFonts w:ascii="Calibri Light" w:hAnsi="Calibri Light"/>
                <w:color w:val="2F5496"/>
                <w:sz w:val="18"/>
                <w:szCs w:val="18"/>
                <w:lang w:eastAsia="en-US"/>
              </w:rPr>
            </w:pPr>
            <w:r w:rsidRPr="00633E89">
              <w:rPr>
                <w:rFonts w:ascii="Calibri Light" w:hAnsi="Calibri Light"/>
                <w:color w:val="2F5496"/>
                <w:sz w:val="18"/>
                <w:szCs w:val="18"/>
                <w:lang w:val="en-US" w:eastAsia="en-US"/>
              </w:rPr>
              <w:t>PARAMETRY TECHNICZNO-EKSPLOATACYJNE</w:t>
            </w: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Kardiomonitor o budowie kompaktowo-modułowej.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Kardiomonitor wyposażony we wbudowaną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lub opcjonalną zewnętrzną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ramę na co najmniej dwa dodatkowe moduły. </w:t>
            </w:r>
            <w:r w:rsidRPr="00633E89">
              <w:rPr>
                <w:rFonts w:ascii="Calibri" w:eastAsia="Calibri" w:hAnsi="Calibri" w:cs="Arial"/>
                <w:strike/>
                <w:sz w:val="22"/>
                <w:szCs w:val="18"/>
                <w:lang w:eastAsia="en-US"/>
              </w:rPr>
              <w:t>Nie dopuszcza się monitora z zewnętrzną ramą dołączaną do kardiomonitora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nie wyraża zgody na zewnętrzną ramę.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Możliwość rozbudowy monitora o moduły pomiarowe (rozbudowa bez udziału serwisu):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- inwazyjnego pomiaru ciśnienia (co najmniej o dwa kanały),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- kapnografii,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- inwazyjnego pomiaru rzutu minutowego metodą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termodylucji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Ekran kolorowy dotykowy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Przekątna ekranu min. 15"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Rozdzielczość co najmniej 1300x700 pikseli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Kąt widzenia powyżej 160°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Funkcja szybkiego przełączania między ekranami, bez wchodzenia do menu, za pomocą gestów np. przesunięcie w lewo lub w prawo dwoma palcami po ekranie.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 – 5 pkt.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Konstrukcja zapobiegająca wchłanianiu kurzu - chłodzenie kardiomonitora konwekcyjne, bez wbudowanych wiatraków / wentylatorów.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 – 5 pkt.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Opisy i komunikaty ekranowe w języku polskim. Fabrycznie skonfigurowane co najmniej trzy układy ekranu: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- normalny (krzywe dynamiczne i wartości parametrów), 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-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minitrendów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(krótkie trendy, krzywe dynamiczne i wartości parametrów), 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- duże odczyty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b/>
                <w:bCs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Minimum 6 wyświetlanych jednoczasowo na ekranie krzywych dynamicznych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Zasilanie elektryczne 230V / 50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Hz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Wewnętrzny akumulator, wymienialny przez użytkownika, pozwalający na  minimum 120 minut pracy w konfiguracji EKG, NIBP, SpO2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Deklarowana żywotność akumulatora podana w liczbie pełnych cykli ładowania, po których akumulator zachowuje co najmniej 80% swojej pojemności znamionowej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Najwyższa wartość – 10 pkt.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Pozostałe – 0 pkt.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Co najmniej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96-godzinne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trendy wszystkich mierzonych parametrów, w postaci tabel i wykresów  z rozdzielczością od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5 minut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 xml:space="preserve">Zamawiający wyraża zgodę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Zapamiętywanie krzywych dynamicznych w czasie rzeczywistym (funkcja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full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dislosure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) – pamięć co najmniej 24 godzin.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Dopuszcza się realizację tej funkcji za pomocą centrali.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Alarmy min. 3-stopniowe (wizualne i akustyczne) wszystkich mierzonych parametrów z klasyfikacją priorytetu alarmu.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Rejestracja zdarzeń alarmowych.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Możliwość czasowego zawieszenia alarmu dźwiękowego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Regulacja głośności alarmów dźwiękowych (min. 9 progów głośności).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Zapamiętywanie co najmniej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50 zdarzeń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alarmowych (krzywe i odpowiadające im wartości parametrów)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nie wyraża zgody na obniżenie wymogu z 1000 na 50 zapamiętanych zdarzeń alarmowych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Alarmy techniczne z podaniem przyczyny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Monitor wyposażony w funkcje obliczeń dawki (lekowych), hemodynamicznych,  natlenienia, </w:t>
            </w:r>
            <w:r w:rsidRPr="00633E89">
              <w:rPr>
                <w:rFonts w:ascii="Calibri" w:eastAsia="Calibri" w:hAnsi="Calibri" w:cs="Arial"/>
                <w:strike/>
                <w:sz w:val="22"/>
                <w:szCs w:val="18"/>
                <w:lang w:eastAsia="en-US"/>
              </w:rPr>
              <w:t>nerkowych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i wentylacji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Monitor wyposażony w funkcję wprowadzania danych i obliczania punktacji wczesnego ostrzegania EWS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Monitor wyposażony w funkcję oceny stanu świadomości wg. skali Glasgow (GCS) – wprowadzanie danych, wyświetlanie punktacji łącznej i podrzędnej </w:t>
            </w:r>
            <w:r w:rsidRPr="00633E89">
              <w:rPr>
                <w:rFonts w:ascii="Calibri" w:eastAsia="Calibri" w:hAnsi="Calibri" w:cs="Arial"/>
                <w:strike/>
                <w:sz w:val="22"/>
                <w:szCs w:val="18"/>
                <w:lang w:eastAsia="en-US"/>
              </w:rPr>
              <w:t>oraz ustawianie odstępu czasowego w jakim mają być wprowadzane dane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Parametr oceniany, nie wymagany. Zamawiający nie wyraża zgody na zmianę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 – 5 pkt.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Funkcja „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standby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”, pozwalająca na wstrzymanie monitorowania pacjenta oraz oszczędzanie energii, związane np. z czasowym odłączeniem go od monitora, bez konieczności wyłączania monitora, oraz na szybkie, ponowne uruchomienie monitorowania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Funkcja „tryb prywatny” pozwalająca - w przypadku podłączenia urządzenia do centrali - na ukrycie danych przed pacjentem i wyświetlanie ich tylko na stanowisku centralnym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 – 5 pkt.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Co najmniej 2 gniazda USB do podłączenia klawiatury, myszki komputerowej, skanera kodów paskowych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ab/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Gniazdo do podłączenia monitora kopiującego (HDMI lub DP)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lub LAN.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nie wyraża zgody na zmianę. Gniazdo LAN nie pozwoli na proste podłączenie monitora kopiującego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Łączność przewodowa (LAN) oraz bezprzewodowa (WLAN) min. 802.11 a/b/g/n (2,4 i 5 GHz)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Współpraca ze stacją centralnego nadzoru przystosowaną również do obsługi monitorów modułowych oraz nadajników telemetrycznych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Możliwość podłączenia do monitora, bez pośrednictwa centrali, sieciowej drukarki laserowej i wykonywania wydruków na standardowym papierze formatu A4: krzywych dynamicznych oraz trendów graficznych i tabelarycznych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 – 5 pkt.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W komplecie z każdym monitorem uchwyt do montażu na ścianie z półką na monitor i koszykiem na akcesoria lub wózek jezdny z półką na monitor i koszykiem na akcesoria (do wyboru przez zamawiającego na etapie realizacji zamówienia)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napToGrid w:val="0"/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>Pomiar EKG</w:t>
            </w: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W komplecie przewód główny i przewód do 5 elektrod klipsowych – 2 komplety na każde stanowisko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Monitorowanie min. do 7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odprowadzeń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EKG jednocześnie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Pomiar częstości serca w zakresie min. 30-250/min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Ustawianie prędkości przesuwu krzywej EKG do wyboru co najmniej: 6.25; 12.5; 25; 50 mm/s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Ustawianie wzmocnienia krzywej EKG do wyboru co najmniej: </w:t>
            </w:r>
            <w:r w:rsidRPr="00633E89">
              <w:rPr>
                <w:rFonts w:ascii="Calibri" w:eastAsia="Calibri" w:hAnsi="Calibri" w:cs="Arial"/>
                <w:strike/>
                <w:sz w:val="22"/>
                <w:szCs w:val="18"/>
                <w:lang w:eastAsia="en-US"/>
              </w:rPr>
              <w:t>x0.125; x0.25;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0.5; x1; x2; x4; auto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Wykorzystywanie do analizy EKG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 xml:space="preserve">2 </w:t>
            </w:r>
            <w:proofErr w:type="spellStart"/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odprowadzeń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jednocześnie, z możliwością ich wyboru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Monitory wyposażony w funkcję analizującą jednocześnie sygnał EKG oraz sygnał krzywej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pletyzmograficznej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w celu uzyskania dokładniejszych wyników analizy arytmii i pomiarów częstości tętna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 xml:space="preserve">lub funkcja umożliwiająca pomiar SPO2 i NBP na tej samej kończynie bez wywoływania alarmów saturacji 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nie wyraża zgody. Zaproponowana przez Wykonawcę funkcja ma zupełnie odmienne przeznaczenie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Funkcja analizy zmian częstości akcji serca z ostatnich 24 godzin informacje o wartościach HR, ST, QT i arytmii: statystyka dot. częstości akcji serca, statystyka zdarzeń arytmii, statystyka pomiarów QT/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QTc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, statystyka maksymalnych i minimalnych wartości odcinka ST dla poszczególnych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odprowadzeń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, statystyka dot. danych stymulatora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lub funkcjonalność umożliwiająca rejestrację wieloparametrowych zdarzeń powiązanych (</w:t>
            </w:r>
            <w:proofErr w:type="spellStart"/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apnea</w:t>
            </w:r>
            <w:proofErr w:type="spellEnd"/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 xml:space="preserve">, bradykardia, </w:t>
            </w:r>
            <w:proofErr w:type="spellStart"/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desaturacja</w:t>
            </w:r>
            <w:proofErr w:type="spellEnd"/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) z okresu min. 24 godzin; możliwość edycji kryteriów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Analiza odcinka ST – jednoczesny pomiar odchylenia odcinka ST w 7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odprowadzeniach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w zakresie co najmniej od -2,5 do +2,5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mV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. Prezentacja zmian odchylenia ST w postaci wzorcowych odcinków ST z nanoszonymi na nie bieżącymi odcinkami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lub w postaci wykresów kołowych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. </w:t>
            </w:r>
            <w:r w:rsidRPr="00633E89">
              <w:rPr>
                <w:rFonts w:ascii="Calibri" w:eastAsia="Calibri" w:hAnsi="Calibri" w:cs="Arial"/>
                <w:strike/>
                <w:sz w:val="22"/>
                <w:szCs w:val="18"/>
                <w:lang w:eastAsia="en-US"/>
              </w:rPr>
              <w:t>Tryb alarmowania ST w oparciu wartości bezwzględne oraz względne w stosunku do linii odniesienia. W przypadku trybu alarmowania w oparciu o wartości bezwzględne możliwość ustawienia granic alarmowych dla pojedynczego ST.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Analiza zmian odcinka QT oraz obliczanie wartości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QTc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wg. co najmniej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2 wzorów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Podstawowa analiza arytmii pracy serca.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Możliwość rozbudowy o zaawansowaną analizę arytmii.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Analiza i alarmy zaburzeń rytmu, co najmniej 21 rodzajów w tym: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asystolii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, bradykardii, tachykardii, R/T, SV, migotania przedsionków i komór.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 – 10 pkt.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Detekcja sygnału stymulatora serca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Respiracja impedancyjna (prezentacja krzywej oddechowej i ilości oddechów w minucie) w zakresie min. 4-100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odd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/min. Prezentacja krzywej oddechowej i respiracji.</w:t>
            </w:r>
          </w:p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Możliwość wyboru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odprowadzeń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do monitorowania respiracji. Wybór prędkości przesuwu krzywych co najmniej: </w:t>
            </w:r>
            <w:r w:rsidRPr="00633E89">
              <w:rPr>
                <w:rFonts w:ascii="Calibri" w:eastAsia="Calibri" w:hAnsi="Calibri" w:cs="Arial"/>
                <w:strike/>
                <w:sz w:val="22"/>
                <w:szCs w:val="18"/>
                <w:lang w:eastAsia="en-US"/>
              </w:rPr>
              <w:t>3 mm/s;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6.25 mm/s; 12,5 mm/s; 25 mm/s.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napToGrid w:val="0"/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>Pomiar saturacji i tętna</w:t>
            </w: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Pomiar saturacji SpO2 z prezentacją krzywej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pletyzmograficznej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z eliminacją artefaktów i zapewniający poprawne pomiary przy słabym lub zakłóconym sygnale. Na ekranie widoczny wskaźnik perfuzji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Modulacja dźwięku przy zmianie wartości % SpO2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Pomiar SpO2 w zakresie min. 70-100% z dokładnością nie gorszą niż +/-2%.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Możliwość wyboru SPO2 jako źródła częstości rytmu serca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b/>
                <w:bCs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Czujnik wielorazowy do pomiaru SPO2 dla dorosłych i dzieci typu klips na palec – 2 szt. na każde stanowisko. Kabel główny o długości min. 2m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val="en-US"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napToGrid w:val="0"/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 xml:space="preserve">Pomiar temperatury </w:t>
            </w: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1 tor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 xml:space="preserve">pomiarowy 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temperatury, w zestawie na każde stanowisko kabel do podłączenia czujnika oraz czujnik powierzchniowy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(możliwość doposażenia w drugi pomiar temperatury)</w:t>
            </w: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nie wyraża zgody na redukcję ilości torów pomiarowych temperatury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Dokładność pomiaru nie gorsza niż 0,1°C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Zakres pomiarowy co najmniej od 25 do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45°C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Możliwość jednoczesnego pomiaru minimum dwóch temperatur, wyświetlanie temperatury T1, T2 i ich różnicy T2-T1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 xml:space="preserve">(przy doposażeniu w drugi pomiar temperatury)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nie wyraża zgody na redukcję ilości torów pomiarowych temperatury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Wybór etykiety temperatury zgodnie z miejscem pomiaru z listy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napToGrid w:val="0"/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>Pomiar ciśnienia tętniczego krwi</w:t>
            </w: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Pomiar ciśnienia tętniczego krwi metodą nieinwazyjną oscylometryczną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Pomiar wyzwalany ręcznie, automatycznie w wybranych odstępach czasowych, ciągłe pomiary przez określony czas, czas repetycji pomiarów automatycznych min. 1 – 240 min.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Zakres pomiarowy ciśnienia co najmniej od 30 do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270 mmHg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Prezentacja wartości: skurczowej, rozkurczowej oraz średniej.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Funkcja </w:t>
            </w:r>
            <w:proofErr w:type="spellStart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stazy</w:t>
            </w:r>
            <w:proofErr w:type="spellEnd"/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 ułatwiająca nakłucie żyły.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Wyświetlanie tabeli zawierającej wyniki poprzednich pomiarów ciśnienia na ekranie głównym obok aktualnie mierzonych wartości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Komplet wielorazowych mankietów bez lateksu dla dorosłych wraz z kablem połączeniowym (3 różne rozmiary mankietów: duży, średni, mały) oraz mankiet na przedramię dla otyłych pacjentów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lub mankiet udowy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14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napToGrid w:val="0"/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b/>
                <w:sz w:val="22"/>
                <w:szCs w:val="18"/>
                <w:lang w:eastAsia="en-US"/>
              </w:rPr>
              <w:t>Pomiar kapnografii w strumieniu bocznym – moduły dla 4 kardiomonitorów</w:t>
            </w: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Zakres pomiarowy stężenia CO2 co najmniej od 0 do 120 mmHg. Zakres pomiarowy częstości oddechu co najmniej od 4 do 120 R/min.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Możliwość przenoszenia modułu pomiędzy monitorami pacjenta bez udziału serwisu, obsługa i wyświetlanie danych na modułowym monitorze pacjenta.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  <w:tr w:rsidR="00633E89" w:rsidRPr="00633E89">
        <w:trPr>
          <w:cantSplit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numPr>
                <w:ilvl w:val="0"/>
                <w:numId w:val="11"/>
              </w:numPr>
              <w:suppressLineNumbers/>
              <w:tabs>
                <w:tab w:val="left" w:pos="343"/>
              </w:tabs>
              <w:suppressAutoHyphens/>
              <w:snapToGrid w:val="0"/>
              <w:spacing w:after="160" w:line="256" w:lineRule="auto"/>
              <w:jc w:val="center"/>
              <w:rPr>
                <w:rFonts w:ascii="Arial" w:hAnsi="Arial" w:cs="Arial"/>
                <w:i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 xml:space="preserve">W komplecie z każdym modułem CO2: 2 szt. akcesoriów do usuwania nadmiaru wilgoci i 5 jednorazowych linii próbkujących </w:t>
            </w:r>
            <w:r w:rsidRPr="00633E89">
              <w:rPr>
                <w:rFonts w:ascii="Calibri" w:eastAsia="Calibri" w:hAnsi="Calibri" w:cs="Arial"/>
                <w:color w:val="EE0000"/>
                <w:sz w:val="22"/>
                <w:szCs w:val="18"/>
                <w:lang w:eastAsia="en-US"/>
              </w:rPr>
              <w:t>lub 5 linii pomiarowych dopasowanych do oferowanej technologii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sz w:val="22"/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  <w:r w:rsidRPr="00633E89">
              <w:rPr>
                <w:rFonts w:ascii="Calibri" w:eastAsia="Calibri" w:hAnsi="Calibri" w:cs="Arial"/>
                <w:color w:val="70AD47"/>
                <w:sz w:val="22"/>
                <w:szCs w:val="18"/>
                <w:lang w:eastAsia="en-US"/>
              </w:rPr>
              <w:t>Zamawiający wyraża zgodę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pacing w:after="160" w:line="256" w:lineRule="auto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E89" w:rsidRPr="00633E89" w:rsidRDefault="00633E89" w:rsidP="00633E89">
            <w:pPr>
              <w:snapToGrid w:val="0"/>
              <w:spacing w:after="160" w:line="256" w:lineRule="auto"/>
              <w:jc w:val="center"/>
              <w:rPr>
                <w:rFonts w:ascii="Calibri" w:eastAsia="Calibri" w:hAnsi="Calibri" w:cs="Arial"/>
                <w:sz w:val="22"/>
                <w:szCs w:val="18"/>
                <w:lang w:eastAsia="en-US"/>
              </w:rPr>
            </w:pPr>
          </w:p>
        </w:tc>
      </w:tr>
    </w:tbl>
    <w:p w:rsidR="00546B4D" w:rsidRDefault="00546B4D" w:rsidP="00546B4D">
      <w:pPr>
        <w:spacing w:before="120" w:after="120" w:line="360" w:lineRule="auto"/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546B4D" w:rsidRDefault="00546B4D" w:rsidP="00546B4D">
      <w:pPr>
        <w:spacing w:before="120" w:after="120" w:line="360" w:lineRule="auto"/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633E89" w:rsidRPr="00546B4D" w:rsidRDefault="00546B4D" w:rsidP="00546B4D">
      <w:pPr>
        <w:spacing w:before="120" w:after="120" w:line="360" w:lineRule="auto"/>
        <w:jc w:val="right"/>
        <w:rPr>
          <w:rFonts w:ascii="Calibri" w:hAnsi="Calibri" w:cs="Calibri"/>
          <w:sz w:val="22"/>
          <w:szCs w:val="22"/>
        </w:rPr>
      </w:pPr>
      <w:r w:rsidRPr="00546B4D">
        <w:rPr>
          <w:rFonts w:ascii="Calibri" w:hAnsi="Calibri" w:cs="Calibri"/>
          <w:sz w:val="22"/>
          <w:szCs w:val="22"/>
        </w:rPr>
        <w:t>Przewodniczący Komisji Przetargowej</w:t>
      </w:r>
    </w:p>
    <w:p w:rsidR="00546B4D" w:rsidRPr="00546B4D" w:rsidRDefault="00546B4D" w:rsidP="00546B4D">
      <w:pPr>
        <w:spacing w:before="120" w:after="120" w:line="360" w:lineRule="auto"/>
        <w:ind w:left="10620" w:firstLine="708"/>
        <w:rPr>
          <w:rFonts w:ascii="Calibri" w:hAnsi="Calibri" w:cs="Calibri"/>
          <w:sz w:val="22"/>
          <w:szCs w:val="22"/>
        </w:rPr>
      </w:pPr>
      <w:r w:rsidRPr="00546B4D">
        <w:rPr>
          <w:rFonts w:ascii="Calibri" w:hAnsi="Calibri" w:cs="Calibri"/>
          <w:sz w:val="22"/>
          <w:szCs w:val="22"/>
        </w:rPr>
        <w:t>Piotr Nowakowski</w:t>
      </w:r>
    </w:p>
    <w:sectPr w:rsidR="00546B4D" w:rsidRPr="00546B4D" w:rsidSect="00D43F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A031C" w:rsidRDefault="00DA031C">
      <w:r>
        <w:separator/>
      </w:r>
    </w:p>
  </w:endnote>
  <w:endnote w:type="continuationSeparator" w:id="0">
    <w:p w:rsidR="00DA031C" w:rsidRDefault="00DA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A031C" w:rsidRDefault="00DA031C">
      <w:r>
        <w:separator/>
      </w:r>
    </w:p>
  </w:footnote>
  <w:footnote w:type="continuationSeparator" w:id="0">
    <w:p w:rsidR="00DA031C" w:rsidRDefault="00DA0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16AB" w:rsidRDefault="008516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43F84" w:rsidRDefault="00546B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">
          <v:imagedata r:id="rId1" o:title=""/>
        </v:shape>
      </w:pict>
    </w:r>
  </w:p>
  <w:p w:rsidR="008516AB" w:rsidRDefault="008516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16AB" w:rsidRDefault="008516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BB4CBA"/>
    <w:multiLevelType w:val="multilevel"/>
    <w:tmpl w:val="0415001D"/>
    <w:styleLink w:val="Styl3"/>
    <w:lvl w:ilvl="0">
      <w:start w:val="2"/>
      <w:numFmt w:val="upperRoman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26704707"/>
    <w:multiLevelType w:val="hybridMultilevel"/>
    <w:tmpl w:val="7F9E70D8"/>
    <w:lvl w:ilvl="0" w:tplc="56EC35D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C270FD"/>
    <w:multiLevelType w:val="multilevel"/>
    <w:tmpl w:val="726ACC70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9213DE"/>
    <w:multiLevelType w:val="hybridMultilevel"/>
    <w:tmpl w:val="7994A2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A2B4717"/>
    <w:multiLevelType w:val="multilevel"/>
    <w:tmpl w:val="0415001D"/>
    <w:styleLink w:val="Styl2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A9D4634"/>
    <w:multiLevelType w:val="multilevel"/>
    <w:tmpl w:val="0415001D"/>
    <w:styleLink w:val="Styl1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0589244">
    <w:abstractNumId w:val="5"/>
  </w:num>
  <w:num w:numId="2" w16cid:durableId="1846241341">
    <w:abstractNumId w:val="12"/>
  </w:num>
  <w:num w:numId="3" w16cid:durableId="948586968">
    <w:abstractNumId w:val="4"/>
  </w:num>
  <w:num w:numId="4" w16cid:durableId="563759537">
    <w:abstractNumId w:val="11"/>
  </w:num>
  <w:num w:numId="5" w16cid:durableId="1198666836">
    <w:abstractNumId w:val="0"/>
  </w:num>
  <w:num w:numId="6" w16cid:durableId="955255341">
    <w:abstractNumId w:val="3"/>
  </w:num>
  <w:num w:numId="7" w16cid:durableId="269244135">
    <w:abstractNumId w:val="8"/>
  </w:num>
  <w:num w:numId="8" w16cid:durableId="1178883412">
    <w:abstractNumId w:val="2"/>
  </w:num>
  <w:num w:numId="9" w16cid:durableId="10387758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3989809">
    <w:abstractNumId w:val="6"/>
  </w:num>
  <w:num w:numId="11" w16cid:durableId="18196905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8702033">
    <w:abstractNumId w:val="7"/>
  </w:num>
  <w:num w:numId="13" w16cid:durableId="15819113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22577752">
    <w:abstractNumId w:val="1"/>
  </w:num>
  <w:num w:numId="15" w16cid:durableId="182284145">
    <w:abstractNumId w:val="9"/>
  </w:num>
  <w:num w:numId="16" w16cid:durableId="19120830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31C"/>
    <w:rsid w:val="00031374"/>
    <w:rsid w:val="000A1097"/>
    <w:rsid w:val="000E2A8F"/>
    <w:rsid w:val="0012774F"/>
    <w:rsid w:val="00144B7A"/>
    <w:rsid w:val="00180C6E"/>
    <w:rsid w:val="00291994"/>
    <w:rsid w:val="0029606A"/>
    <w:rsid w:val="00402F05"/>
    <w:rsid w:val="004848F3"/>
    <w:rsid w:val="004A75F2"/>
    <w:rsid w:val="005144A9"/>
    <w:rsid w:val="00520165"/>
    <w:rsid w:val="00546B4D"/>
    <w:rsid w:val="005B1B08"/>
    <w:rsid w:val="00632C3C"/>
    <w:rsid w:val="00633E89"/>
    <w:rsid w:val="00662BDB"/>
    <w:rsid w:val="006A5DF1"/>
    <w:rsid w:val="006B7198"/>
    <w:rsid w:val="006D4AB3"/>
    <w:rsid w:val="006F3B81"/>
    <w:rsid w:val="007D7198"/>
    <w:rsid w:val="008516AB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43F84"/>
    <w:rsid w:val="00D8461B"/>
    <w:rsid w:val="00D9049C"/>
    <w:rsid w:val="00D915F2"/>
    <w:rsid w:val="00DA031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D5AFA"/>
  <w15:chartTrackingRefBased/>
  <w15:docId w15:val="{F381C26F-A7CB-483A-B7DD-92B92D8E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endnote text" w:uiPriority="99"/>
    <w:lsdException w:name="Title" w:uiPriority="10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43F84"/>
    <w:pPr>
      <w:keepNext/>
      <w:outlineLvl w:val="2"/>
    </w:pPr>
    <w:rPr>
      <w:rFonts w:ascii="Arial" w:eastAsia="Arial Unicode MS" w:hAnsi="Arial" w:cs="Arial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43F84"/>
    <w:pPr>
      <w:keepNext/>
      <w:outlineLvl w:val="3"/>
    </w:pPr>
    <w:rPr>
      <w:rFonts w:ascii="Arial" w:hAnsi="Arial"/>
      <w:sz w:val="1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43F84"/>
    <w:pPr>
      <w:keepNext/>
      <w:outlineLvl w:val="4"/>
    </w:pPr>
    <w:rPr>
      <w:rFonts w:ascii="Arial" w:hAnsi="Aria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43F8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43F84"/>
    <w:pPr>
      <w:keepNext/>
      <w:outlineLvl w:val="6"/>
    </w:pPr>
    <w:rPr>
      <w:rFonts w:ascii="Arial" w:hAnsi="Arial"/>
      <w:b/>
      <w:sz w:val="18"/>
      <w:szCs w:val="24"/>
      <w:u w:val="singl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43F84"/>
    <w:pPr>
      <w:keepNext/>
      <w:outlineLvl w:val="7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43F84"/>
  </w:style>
  <w:style w:type="character" w:customStyle="1" w:styleId="Nagwek6Znak">
    <w:name w:val="Nagłówek 6 Znak"/>
    <w:link w:val="Nagwek6"/>
    <w:semiHidden/>
    <w:rsid w:val="00D43F8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3Znak">
    <w:name w:val="Nagłówek 3 Znak"/>
    <w:link w:val="Nagwek3"/>
    <w:semiHidden/>
    <w:rsid w:val="00D43F84"/>
    <w:rPr>
      <w:rFonts w:ascii="Arial" w:eastAsia="Arial Unicode MS" w:hAnsi="Arial" w:cs="Arial"/>
      <w:b/>
      <w:bCs/>
      <w:sz w:val="28"/>
      <w:szCs w:val="24"/>
    </w:rPr>
  </w:style>
  <w:style w:type="character" w:customStyle="1" w:styleId="Nagwek4Znak">
    <w:name w:val="Nagłówek 4 Znak"/>
    <w:link w:val="Nagwek4"/>
    <w:semiHidden/>
    <w:rsid w:val="00D43F84"/>
    <w:rPr>
      <w:rFonts w:ascii="Arial" w:hAnsi="Arial"/>
      <w:sz w:val="18"/>
    </w:rPr>
  </w:style>
  <w:style w:type="character" w:customStyle="1" w:styleId="Nagwek5Znak">
    <w:name w:val="Nagłówek 5 Znak"/>
    <w:link w:val="Nagwek5"/>
    <w:semiHidden/>
    <w:rsid w:val="00D43F84"/>
    <w:rPr>
      <w:rFonts w:ascii="Arial" w:hAnsi="Arial"/>
    </w:rPr>
  </w:style>
  <w:style w:type="character" w:customStyle="1" w:styleId="Nagwek7Znak">
    <w:name w:val="Nagłówek 7 Znak"/>
    <w:link w:val="Nagwek7"/>
    <w:semiHidden/>
    <w:rsid w:val="00D43F84"/>
    <w:rPr>
      <w:rFonts w:ascii="Arial" w:hAnsi="Arial"/>
      <w:b/>
      <w:sz w:val="18"/>
      <w:szCs w:val="24"/>
      <w:u w:val="single"/>
    </w:rPr>
  </w:style>
  <w:style w:type="character" w:customStyle="1" w:styleId="Nagwek8Znak">
    <w:name w:val="Nagłówek 8 Znak"/>
    <w:link w:val="Nagwek8"/>
    <w:semiHidden/>
    <w:rsid w:val="00D43F84"/>
    <w:rPr>
      <w:rFonts w:ascii="Arial" w:hAnsi="Arial" w:cs="Arial"/>
      <w:b/>
      <w:bCs/>
    </w:rPr>
  </w:style>
  <w:style w:type="character" w:customStyle="1" w:styleId="Nagwek1Znak">
    <w:name w:val="Nagłówek 1 Znak"/>
    <w:link w:val="Nagwek1"/>
    <w:qFormat/>
    <w:rsid w:val="00D43F84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rsid w:val="00D43F84"/>
    <w:rPr>
      <w:b/>
      <w:sz w:val="24"/>
    </w:rPr>
  </w:style>
  <w:style w:type="character" w:styleId="Hipercze">
    <w:name w:val="Hyperlink"/>
    <w:unhideWhenUsed/>
    <w:rsid w:val="00D43F84"/>
    <w:rPr>
      <w:color w:val="0000FF"/>
      <w:u w:val="single"/>
    </w:rPr>
  </w:style>
  <w:style w:type="character" w:styleId="UyteHipercze">
    <w:name w:val="FollowedHyperlink"/>
    <w:uiPriority w:val="99"/>
    <w:unhideWhenUsed/>
    <w:rsid w:val="00D43F84"/>
    <w:rPr>
      <w:color w:val="954F72"/>
      <w:u w:val="single"/>
    </w:rPr>
  </w:style>
  <w:style w:type="paragraph" w:customStyle="1" w:styleId="msonormal0">
    <w:name w:val="msonormal"/>
    <w:basedOn w:val="Normalny"/>
    <w:rsid w:val="00D43F84"/>
    <w:pPr>
      <w:widowControl w:val="0"/>
      <w:suppressAutoHyphens/>
      <w:spacing w:before="280" w:after="280"/>
    </w:pPr>
    <w:rPr>
      <w:rFonts w:ascii="Arial" w:eastAsia="Lucida Sans Unicode" w:hAnsi="Arial"/>
      <w:sz w:val="18"/>
      <w:szCs w:val="24"/>
      <w:lang w:eastAsia="en-US"/>
    </w:rPr>
  </w:style>
  <w:style w:type="paragraph" w:styleId="NormalnyWeb">
    <w:name w:val="Normal (Web)"/>
    <w:basedOn w:val="Normalny"/>
    <w:unhideWhenUsed/>
    <w:rsid w:val="00D43F84"/>
    <w:pPr>
      <w:widowControl w:val="0"/>
      <w:suppressAutoHyphens/>
      <w:spacing w:before="280" w:after="280"/>
    </w:pPr>
    <w:rPr>
      <w:rFonts w:ascii="Arial" w:eastAsia="Lucida Sans Unicode" w:hAnsi="Arial"/>
      <w:sz w:val="18"/>
      <w:szCs w:val="24"/>
      <w:lang w:eastAsia="en-US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43F84"/>
    <w:rPr>
      <w:rFonts w:ascii="Arial" w:hAnsi="Arial"/>
    </w:rPr>
  </w:style>
  <w:style w:type="character" w:customStyle="1" w:styleId="TekstkomentarzaZnak">
    <w:name w:val="Tekst komentarza Znak"/>
    <w:link w:val="Tekstkomentarza"/>
    <w:uiPriority w:val="99"/>
    <w:rsid w:val="00D43F84"/>
    <w:rPr>
      <w:rFonts w:ascii="Arial" w:hAnsi="Arial"/>
    </w:rPr>
  </w:style>
  <w:style w:type="character" w:customStyle="1" w:styleId="StopkaZnak">
    <w:name w:val="Stopka Znak"/>
    <w:link w:val="Stopka"/>
    <w:rsid w:val="00D43F84"/>
  </w:style>
  <w:style w:type="paragraph" w:styleId="Tekstprzypisukocowego">
    <w:name w:val="endnote text"/>
    <w:basedOn w:val="Normalny"/>
    <w:link w:val="TekstprzypisukocowegoZnak"/>
    <w:uiPriority w:val="99"/>
    <w:unhideWhenUsed/>
    <w:rsid w:val="00D43F84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D43F84"/>
    <w:rPr>
      <w:rFonts w:ascii="Calibri" w:eastAsia="Calibri" w:hAnsi="Calibri"/>
      <w:lang w:eastAsia="en-US"/>
    </w:rPr>
  </w:style>
  <w:style w:type="character" w:customStyle="1" w:styleId="TytuZnak">
    <w:name w:val="Tytuł Znak"/>
    <w:link w:val="Tytu"/>
    <w:uiPriority w:val="10"/>
    <w:rsid w:val="00D43F84"/>
    <w:rPr>
      <w:b/>
      <w:sz w:val="24"/>
    </w:rPr>
  </w:style>
  <w:style w:type="character" w:customStyle="1" w:styleId="TekstpodstawowyZnak">
    <w:name w:val="Tekst podstawowy Znak"/>
    <w:link w:val="Tekstpodstawowy"/>
    <w:rsid w:val="00D43F84"/>
    <w:rPr>
      <w:sz w:val="28"/>
    </w:rPr>
  </w:style>
  <w:style w:type="paragraph" w:styleId="Lista-kontynuacja">
    <w:name w:val="List Continue"/>
    <w:basedOn w:val="Normalny"/>
    <w:unhideWhenUsed/>
    <w:rsid w:val="00D43F84"/>
    <w:pPr>
      <w:spacing w:after="120"/>
      <w:ind w:left="283"/>
    </w:pPr>
    <w:rPr>
      <w:rFonts w:ascii="Arial" w:hAnsi="Arial"/>
      <w:sz w:val="18"/>
      <w:szCs w:val="24"/>
    </w:rPr>
  </w:style>
  <w:style w:type="paragraph" w:styleId="Lista-kontynuacja2">
    <w:name w:val="List Continue 2"/>
    <w:basedOn w:val="Lista-kontynuacja"/>
    <w:unhideWhenUsed/>
    <w:rsid w:val="00D43F84"/>
    <w:pPr>
      <w:spacing w:after="160"/>
      <w:ind w:left="1080" w:hanging="360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nhideWhenUsed/>
    <w:rsid w:val="00D43F84"/>
    <w:rPr>
      <w:rFonts w:ascii="Arial" w:hAnsi="Arial" w:cs="Arial"/>
      <w:b/>
      <w:sz w:val="22"/>
      <w:szCs w:val="24"/>
    </w:rPr>
  </w:style>
  <w:style w:type="character" w:customStyle="1" w:styleId="Tekstpodstawowy2Znak">
    <w:name w:val="Tekst podstawowy 2 Znak"/>
    <w:link w:val="Tekstpodstawowy2"/>
    <w:rsid w:val="00D43F84"/>
    <w:rPr>
      <w:rFonts w:ascii="Arial" w:hAnsi="Arial" w:cs="Arial"/>
      <w:b/>
      <w:sz w:val="22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D43F84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rsid w:val="00D43F84"/>
    <w:rPr>
      <w:rFonts w:ascii="Arial" w:hAnsi="Arial"/>
      <w:b/>
      <w:bCs/>
      <w:lang w:val="x-none" w:eastAsia="x-none"/>
    </w:rPr>
  </w:style>
  <w:style w:type="paragraph" w:styleId="Bezodstpw">
    <w:name w:val="No Spacing"/>
    <w:basedOn w:val="Normalny"/>
    <w:qFormat/>
    <w:rsid w:val="00D43F84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3F84"/>
    <w:pPr>
      <w:spacing w:after="160" w:line="25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paragraph" w:customStyle="1" w:styleId="Default">
    <w:name w:val="Default"/>
    <w:rsid w:val="00D43F84"/>
    <w:pPr>
      <w:autoSpaceDE w:val="0"/>
      <w:autoSpaceDN w:val="0"/>
      <w:adjustRightInd w:val="0"/>
    </w:pPr>
    <w:rPr>
      <w:rFonts w:ascii="Liberation Sans" w:eastAsia="Calibri" w:hAnsi="Liberation Sans" w:cs="Liberation Sans"/>
      <w:color w:val="000000"/>
      <w:sz w:val="24"/>
      <w:szCs w:val="24"/>
      <w:lang w:eastAsia="en-US"/>
    </w:rPr>
  </w:style>
  <w:style w:type="paragraph" w:customStyle="1" w:styleId="text">
    <w:name w:val="text"/>
    <w:basedOn w:val="Normalny"/>
    <w:rsid w:val="00D43F84"/>
    <w:pPr>
      <w:spacing w:before="100" w:beforeAutospacing="1" w:after="100" w:afterAutospacing="1"/>
    </w:pPr>
    <w:rPr>
      <w:sz w:val="24"/>
      <w:szCs w:val="24"/>
    </w:rPr>
  </w:style>
  <w:style w:type="paragraph" w:customStyle="1" w:styleId="Text0">
    <w:name w:val="_Text0"/>
    <w:rsid w:val="00D43F84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jc w:val="both"/>
    </w:pPr>
    <w:rPr>
      <w:rFonts w:ascii="Arial" w:hAnsi="Arial"/>
      <w:sz w:val="22"/>
      <w:lang w:val="de-DE" w:eastAsia="en-US"/>
    </w:rPr>
  </w:style>
  <w:style w:type="paragraph" w:customStyle="1" w:styleId="WW-Zawartotabeli">
    <w:name w:val="WW-Zawartość tabeli"/>
    <w:basedOn w:val="Tekstpodstawowy"/>
    <w:rsid w:val="00D43F84"/>
    <w:pPr>
      <w:widowControl w:val="0"/>
      <w:suppressLineNumbers/>
      <w:suppressAutoHyphens/>
      <w:spacing w:after="120"/>
    </w:pPr>
    <w:rPr>
      <w:rFonts w:eastAsia="Arial Unicode MS"/>
      <w:sz w:val="24"/>
      <w:szCs w:val="24"/>
    </w:rPr>
  </w:style>
  <w:style w:type="paragraph" w:customStyle="1" w:styleId="Podpis2">
    <w:name w:val="Podpis2"/>
    <w:basedOn w:val="Normalny"/>
    <w:rsid w:val="00D43F84"/>
    <w:pPr>
      <w:suppressLineNumbers/>
      <w:suppressAutoHyphens/>
      <w:spacing w:before="120" w:after="120"/>
    </w:pPr>
    <w:rPr>
      <w:rFonts w:ascii="Arial" w:hAnsi="Arial" w:cs="Tahoma"/>
      <w:i/>
      <w:iCs/>
      <w:kern w:val="2"/>
      <w:sz w:val="18"/>
      <w:szCs w:val="24"/>
      <w:lang w:eastAsia="ar-SA"/>
    </w:rPr>
  </w:style>
  <w:style w:type="paragraph" w:customStyle="1" w:styleId="Indeks">
    <w:name w:val="Indeks"/>
    <w:basedOn w:val="Normalny"/>
    <w:rsid w:val="00D43F84"/>
    <w:pPr>
      <w:suppressLineNumbers/>
      <w:suppressAutoHyphens/>
    </w:pPr>
    <w:rPr>
      <w:rFonts w:ascii="Arial" w:hAnsi="Arial" w:cs="Tahoma"/>
      <w:kern w:val="2"/>
      <w:sz w:val="18"/>
      <w:szCs w:val="24"/>
      <w:lang w:eastAsia="ar-SA"/>
    </w:rPr>
  </w:style>
  <w:style w:type="paragraph" w:customStyle="1" w:styleId="Lista-kontynuacja21">
    <w:name w:val="Lista - kontynuacja 21"/>
    <w:basedOn w:val="Normalny"/>
    <w:rsid w:val="00D43F84"/>
    <w:pPr>
      <w:suppressAutoHyphens/>
      <w:spacing w:after="160"/>
      <w:ind w:left="1080" w:hanging="360"/>
    </w:pPr>
    <w:rPr>
      <w:rFonts w:ascii="Arial" w:hAnsi="Arial"/>
      <w:lang w:eastAsia="ar-SA"/>
    </w:rPr>
  </w:style>
  <w:style w:type="character" w:styleId="Odwoaniedokomentarza">
    <w:name w:val="annotation reference"/>
    <w:uiPriority w:val="99"/>
    <w:unhideWhenUsed/>
    <w:rsid w:val="00D43F84"/>
    <w:rPr>
      <w:sz w:val="16"/>
      <w:szCs w:val="16"/>
    </w:rPr>
  </w:style>
  <w:style w:type="character" w:styleId="Odwoanieprzypisukocowego">
    <w:name w:val="endnote reference"/>
    <w:unhideWhenUsed/>
    <w:rsid w:val="00D43F84"/>
    <w:rPr>
      <w:vertAlign w:val="superscript"/>
    </w:rPr>
  </w:style>
  <w:style w:type="character" w:customStyle="1" w:styleId="TekstdymkaZnak1">
    <w:name w:val="Tekst dymka Znak1"/>
    <w:uiPriority w:val="99"/>
    <w:semiHidden/>
    <w:rsid w:val="00D43F84"/>
    <w:rPr>
      <w:rFonts w:ascii="Tahoma" w:hAnsi="Tahoma" w:cs="Tahoma" w:hint="default"/>
      <w:sz w:val="16"/>
      <w:szCs w:val="16"/>
    </w:rPr>
  </w:style>
  <w:style w:type="character" w:customStyle="1" w:styleId="grame">
    <w:name w:val="grame"/>
    <w:basedOn w:val="Domylnaczcionkaakapitu"/>
    <w:rsid w:val="00D43F84"/>
  </w:style>
  <w:style w:type="character" w:customStyle="1" w:styleId="spelle">
    <w:name w:val="spelle"/>
    <w:basedOn w:val="Domylnaczcionkaakapitu"/>
    <w:rsid w:val="00D43F84"/>
  </w:style>
  <w:style w:type="character" w:customStyle="1" w:styleId="WW8Num38z0">
    <w:name w:val="WW8Num38z0"/>
    <w:rsid w:val="00D43F84"/>
    <w:rPr>
      <w:rFonts w:ascii="Times New Roman" w:eastAsia="Times New Roman" w:hAnsi="Times New Roman" w:cs="Times New Roman" w:hint="default"/>
    </w:rPr>
  </w:style>
  <w:style w:type="character" w:customStyle="1" w:styleId="WW8Num38z1">
    <w:name w:val="WW8Num38z1"/>
    <w:rsid w:val="00D43F84"/>
    <w:rPr>
      <w:rFonts w:ascii="Courier New" w:hAnsi="Courier New" w:cs="Courier New" w:hint="default"/>
    </w:rPr>
  </w:style>
  <w:style w:type="numbering" w:customStyle="1" w:styleId="Styl3">
    <w:name w:val="Styl3"/>
    <w:rsid w:val="00D43F84"/>
    <w:pPr>
      <w:numPr>
        <w:numId w:val="14"/>
      </w:numPr>
    </w:pPr>
  </w:style>
  <w:style w:type="numbering" w:customStyle="1" w:styleId="Styl2">
    <w:name w:val="Styl2"/>
    <w:rsid w:val="00D43F84"/>
    <w:pPr>
      <w:numPr>
        <w:numId w:val="15"/>
      </w:numPr>
    </w:pPr>
  </w:style>
  <w:style w:type="numbering" w:customStyle="1" w:styleId="Styl1">
    <w:name w:val="Styl1"/>
    <w:rsid w:val="00D43F84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13</Pages>
  <Words>1916</Words>
  <Characters>12031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2026-03-12T12:10:00Z</cp:lastPrinted>
  <dcterms:created xsi:type="dcterms:W3CDTF">2026-03-12T07:18:00Z</dcterms:created>
  <dcterms:modified xsi:type="dcterms:W3CDTF">2026-03-12T12:11:00Z</dcterms:modified>
</cp:coreProperties>
</file>