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0B8EF98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8F627A">
        <w:rPr>
          <w:bCs/>
          <w:i w:val="0"/>
          <w:sz w:val="22"/>
          <w:szCs w:val="22"/>
        </w:rPr>
        <w:t>5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D60403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C5144">
        <w:rPr>
          <w:b/>
          <w:sz w:val="22"/>
          <w:szCs w:val="22"/>
        </w:rPr>
        <w:t>4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810998F" w14:textId="77777777" w:rsidR="001C5144" w:rsidRDefault="001C5144" w:rsidP="001C5144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1C5144">
        <w:rPr>
          <w:b/>
          <w:i/>
          <w:iCs/>
          <w:sz w:val="22"/>
          <w:szCs w:val="22"/>
        </w:rPr>
        <w:t>Zakup urządzeń i wyrobów medycznych przeznaczonych do diagnostyki i leczenia kardiologicznego w Szpitalu Miejskim Specjalistycznym im. Gabriela Narutowicza w Krakowie</w:t>
      </w:r>
    </w:p>
    <w:p w14:paraId="0ECEE534" w14:textId="4D9B40C5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C5144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6669D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2026-01-30T07:54:00Z</dcterms:created>
  <dcterms:modified xsi:type="dcterms:W3CDTF">2026-02-12T06:15:00Z</dcterms:modified>
</cp:coreProperties>
</file>