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D9D37" w14:textId="7048556C" w:rsidR="00035DEC" w:rsidRPr="00AD45A9" w:rsidRDefault="005437F7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437F7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5437F7">
        <w:rPr>
          <w:rFonts w:ascii="Arial" w:hAnsi="Arial" w:cs="Arial"/>
          <w:sz w:val="24"/>
          <w:szCs w:val="24"/>
        </w:rPr>
        <w:t>2025-12-2</w:t>
      </w:r>
      <w:r w:rsidR="00CD0EB6">
        <w:rPr>
          <w:rFonts w:ascii="Arial" w:hAnsi="Arial" w:cs="Arial"/>
          <w:sz w:val="24"/>
          <w:szCs w:val="24"/>
        </w:rPr>
        <w:t>2</w:t>
      </w:r>
    </w:p>
    <w:p w14:paraId="4D4528B0" w14:textId="77777777" w:rsidR="00035DEC" w:rsidRPr="00AD45A9" w:rsidRDefault="005437F7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437F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136BC61" w14:textId="77777777" w:rsidR="00035DEC" w:rsidRPr="00AD45A9" w:rsidRDefault="005437F7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5437F7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437F7">
        <w:rPr>
          <w:rFonts w:ascii="Arial" w:hAnsi="Arial" w:cs="Arial"/>
          <w:sz w:val="24"/>
          <w:szCs w:val="24"/>
        </w:rPr>
        <w:t>66</w:t>
      </w:r>
    </w:p>
    <w:p w14:paraId="5BE5CA46" w14:textId="77777777" w:rsidR="00035DEC" w:rsidRPr="00AD45A9" w:rsidRDefault="005437F7" w:rsidP="00035DEC">
      <w:pPr>
        <w:rPr>
          <w:rFonts w:ascii="Arial" w:hAnsi="Arial" w:cs="Arial"/>
          <w:sz w:val="24"/>
          <w:szCs w:val="24"/>
        </w:rPr>
      </w:pPr>
      <w:r w:rsidRPr="005437F7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437F7">
        <w:rPr>
          <w:rFonts w:ascii="Arial" w:hAnsi="Arial" w:cs="Arial"/>
          <w:sz w:val="24"/>
          <w:szCs w:val="24"/>
        </w:rPr>
        <w:t>Kraków</w:t>
      </w:r>
    </w:p>
    <w:p w14:paraId="7136ADA0" w14:textId="4C387449" w:rsidR="00035DEC" w:rsidRPr="00AD45A9" w:rsidRDefault="0008702D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SZP-271-59/25-</w:t>
      </w:r>
      <w:r w:rsidR="00CD0EB6">
        <w:rPr>
          <w:rFonts w:ascii="Arial" w:hAnsi="Arial" w:cs="Arial"/>
          <w:bCs/>
          <w:sz w:val="18"/>
          <w:szCs w:val="18"/>
        </w:rPr>
        <w:t>1080</w:t>
      </w:r>
      <w:r>
        <w:rPr>
          <w:rFonts w:ascii="Arial" w:hAnsi="Arial" w:cs="Arial"/>
          <w:bCs/>
          <w:sz w:val="18"/>
          <w:szCs w:val="18"/>
        </w:rPr>
        <w:t>.IW</w:t>
      </w:r>
    </w:p>
    <w:p w14:paraId="59AFD460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49734D74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76F282A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7DFB099" w14:textId="77777777" w:rsidTr="00B32FF9">
        <w:tc>
          <w:tcPr>
            <w:tcW w:w="2269" w:type="dxa"/>
            <w:shd w:val="clear" w:color="auto" w:fill="auto"/>
          </w:tcPr>
          <w:p w14:paraId="2E64C8F9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7EB9A4" w14:textId="77777777" w:rsidR="005437F7" w:rsidRPr="005437F7" w:rsidRDefault="005437F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37F7">
              <w:rPr>
                <w:rFonts w:ascii="Arial" w:hAnsi="Arial" w:cs="Arial"/>
                <w:bCs/>
                <w:sz w:val="24"/>
                <w:szCs w:val="24"/>
              </w:rPr>
              <w:t xml:space="preserve">Zakup i dostawa: serwerów z oprogramowaniem do wirtualizacji i systemami serwerowymi </w:t>
            </w:r>
            <w:proofErr w:type="spellStart"/>
            <w:r w:rsidRPr="005437F7">
              <w:rPr>
                <w:rFonts w:ascii="Arial" w:hAnsi="Arial" w:cs="Arial"/>
                <w:bCs/>
                <w:sz w:val="24"/>
                <w:szCs w:val="24"/>
              </w:rPr>
              <w:t>windows</w:t>
            </w:r>
            <w:proofErr w:type="spellEnd"/>
            <w:r w:rsidRPr="005437F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5437F7">
              <w:rPr>
                <w:rFonts w:ascii="Arial" w:hAnsi="Arial" w:cs="Arial"/>
                <w:bCs/>
                <w:sz w:val="24"/>
                <w:szCs w:val="24"/>
              </w:rPr>
              <w:t>datacentre</w:t>
            </w:r>
            <w:proofErr w:type="spellEnd"/>
            <w:r w:rsidRPr="005437F7">
              <w:rPr>
                <w:rFonts w:ascii="Arial" w:hAnsi="Arial" w:cs="Arial"/>
                <w:bCs/>
                <w:sz w:val="24"/>
                <w:szCs w:val="24"/>
              </w:rPr>
              <w:t xml:space="preserve"> z konfiguracją i wdrożeniem; macierzy i przełączników SAN FC z konfiguracją i wdrożeniem; przełączników sieciowych COR z konfiguracją i wdrożeniem; stacji roboczych (zakup komputerów); </w:t>
            </w:r>
          </w:p>
          <w:p w14:paraId="77A4C9D4" w14:textId="77777777" w:rsidR="00035DEC" w:rsidRPr="004E4B64" w:rsidRDefault="005437F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37F7">
              <w:rPr>
                <w:rFonts w:ascii="Arial" w:hAnsi="Arial" w:cs="Arial"/>
                <w:bCs/>
                <w:sz w:val="24"/>
                <w:szCs w:val="24"/>
              </w:rPr>
              <w:t>czytników e-dowodu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437F7" w:rsidRPr="004E4B64" w14:paraId="2603333E" w14:textId="77777777" w:rsidTr="0031112A">
        <w:tc>
          <w:tcPr>
            <w:tcW w:w="2269" w:type="dxa"/>
            <w:shd w:val="clear" w:color="auto" w:fill="auto"/>
          </w:tcPr>
          <w:p w14:paraId="2B868452" w14:textId="77777777" w:rsidR="005437F7" w:rsidRPr="004E4B64" w:rsidRDefault="005437F7" w:rsidP="003111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8F141B" w14:textId="77777777" w:rsidR="005437F7" w:rsidRPr="004E4B64" w:rsidRDefault="005437F7" w:rsidP="003111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37F7">
              <w:rPr>
                <w:rFonts w:ascii="Arial" w:hAnsi="Arial" w:cs="Arial"/>
                <w:bCs/>
                <w:sz w:val="24"/>
                <w:szCs w:val="24"/>
              </w:rPr>
              <w:t>SZP-271-59/25</w:t>
            </w:r>
          </w:p>
        </w:tc>
      </w:tr>
    </w:tbl>
    <w:p w14:paraId="63D1866C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4EC0D5CC" w14:textId="77777777" w:rsidTr="00B32FF9">
        <w:tc>
          <w:tcPr>
            <w:tcW w:w="9330" w:type="dxa"/>
            <w:shd w:val="clear" w:color="auto" w:fill="F2F2F2"/>
            <w:hideMark/>
          </w:tcPr>
          <w:p w14:paraId="781EC036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6D6C874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5437F7" w:rsidRPr="005437F7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5437F7" w:rsidRPr="005437F7">
        <w:rPr>
          <w:rFonts w:ascii="Arial" w:hAnsi="Arial" w:cs="Arial"/>
          <w:sz w:val="24"/>
          <w:szCs w:val="24"/>
        </w:rPr>
        <w:t>(</w:t>
      </w:r>
      <w:proofErr w:type="spellStart"/>
      <w:r w:rsidR="005437F7" w:rsidRPr="005437F7">
        <w:rPr>
          <w:rFonts w:ascii="Arial" w:hAnsi="Arial" w:cs="Arial"/>
          <w:sz w:val="24"/>
          <w:szCs w:val="24"/>
        </w:rPr>
        <w:t>t.j</w:t>
      </w:r>
      <w:proofErr w:type="spellEnd"/>
      <w:r w:rsidR="005437F7" w:rsidRPr="005437F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437F7" w:rsidRPr="005437F7">
        <w:rPr>
          <w:rFonts w:ascii="Arial" w:hAnsi="Arial" w:cs="Arial"/>
          <w:sz w:val="24"/>
          <w:szCs w:val="24"/>
        </w:rPr>
        <w:t>późn</w:t>
      </w:r>
      <w:proofErr w:type="spellEnd"/>
      <w:r w:rsidR="005437F7" w:rsidRPr="005437F7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37F7" w:rsidRPr="009003D1" w14:paraId="073AC67D" w14:textId="77777777" w:rsidTr="0031112A">
        <w:tc>
          <w:tcPr>
            <w:tcW w:w="9356" w:type="dxa"/>
            <w:shd w:val="clear" w:color="auto" w:fill="auto"/>
          </w:tcPr>
          <w:p w14:paraId="08D4DFB6" w14:textId="77777777" w:rsidR="005437F7" w:rsidRPr="00035DEC" w:rsidRDefault="005437F7" w:rsidP="0031112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5437F7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62E3482E" w14:textId="12423951" w:rsidR="005437F7" w:rsidRPr="005437F7" w:rsidRDefault="005437F7" w:rsidP="0008702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Dot. części 2. – Monitor</w:t>
            </w:r>
          </w:p>
          <w:p w14:paraId="4454EBF2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Czy Zamawiający dopuści monitor bez złącza D-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Sub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VGA?</w:t>
            </w:r>
          </w:p>
          <w:p w14:paraId="08EC7796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lastRenderedPageBreak/>
              <w:t>Zamawiający określił wymóg:</w:t>
            </w:r>
          </w:p>
          <w:p w14:paraId="72B472B5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“Porty (co najmniej):</w:t>
            </w:r>
          </w:p>
          <w:p w14:paraId="0FA172F5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D-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Sub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VGA, HDMI 1.4,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1.2, wbudowany koncentrator USB o co najmniej 4 portach (z czego co najmniej 1 w standardzie USB 3.2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>-</w:t>
            </w:r>
            <w:proofErr w:type="gramStart"/>
            <w:r w:rsidRPr="005437F7">
              <w:rPr>
                <w:rFonts w:ascii="Arial" w:hAnsi="Arial" w:cs="Arial"/>
                <w:sz w:val="24"/>
                <w:szCs w:val="24"/>
              </w:rPr>
              <w:t>C )</w:t>
            </w:r>
            <w:proofErr w:type="gramEnd"/>
            <w:r w:rsidRPr="005437F7">
              <w:rPr>
                <w:rFonts w:ascii="Arial" w:hAnsi="Arial" w:cs="Arial"/>
                <w:sz w:val="24"/>
                <w:szCs w:val="24"/>
              </w:rPr>
              <w:t>”</w:t>
            </w:r>
          </w:p>
          <w:p w14:paraId="3FC3D561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Obecnie porty D-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Sub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VGA nie są stosowane w nowoczesnych monitorach, zostają zastąpione często przez porty HDMI/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czy też USB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-C z funkcjonalnością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>. Wymóg zastosowania portu D-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Sub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VGA,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wykluczaja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złożenie oferty przez jednego z czołowych producentów monitorów. Ponadto zwracamy uwagę, że dla samych komputerów zamawiający nie wymaga złącza D-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Sub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VGA, zatem zapis ten wydaje się nadmiarowy w kontekście opisanych zestawów komputerowych.</w:t>
            </w:r>
          </w:p>
          <w:p w14:paraId="10C79BDB" w14:textId="28FEBD41" w:rsidR="0008702D" w:rsidRDefault="0008702D" w:rsidP="000870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AF4001" w14:textId="4C1B7EDB" w:rsidR="0059391F" w:rsidRPr="00035DEC" w:rsidRDefault="0059391F" w:rsidP="000870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dopuszcza.</w:t>
            </w:r>
          </w:p>
          <w:p w14:paraId="7D9D25FF" w14:textId="77777777" w:rsidR="0008702D" w:rsidRDefault="0008702D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4872724" w14:textId="2EB8F1EF" w:rsidR="005437F7" w:rsidRPr="005437F7" w:rsidRDefault="0008702D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5437F7" w:rsidRPr="005437F7">
              <w:rPr>
                <w:rFonts w:ascii="Arial" w:hAnsi="Arial" w:cs="Arial"/>
                <w:sz w:val="24"/>
                <w:szCs w:val="24"/>
              </w:rPr>
              <w:t>Dot. części 2. – Stacja Robocza SFF</w:t>
            </w:r>
          </w:p>
          <w:p w14:paraId="1FF53C70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Czy Zamawiający dopuści zasilacz o mocy 280W</w:t>
            </w:r>
          </w:p>
          <w:p w14:paraId="1E1C5C8C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 xml:space="preserve">Zamawiający określił wymóg: </w:t>
            </w:r>
            <w:proofErr w:type="gramStart"/>
            <w:r w:rsidRPr="005437F7">
              <w:rPr>
                <w:rFonts w:ascii="Arial" w:hAnsi="Arial" w:cs="Arial"/>
                <w:sz w:val="24"/>
                <w:szCs w:val="24"/>
              </w:rPr>
              <w:t>“ Zasilacz</w:t>
            </w:r>
            <w:proofErr w:type="gramEnd"/>
            <w:r w:rsidRPr="005437F7">
              <w:rPr>
                <w:rFonts w:ascii="Arial" w:hAnsi="Arial" w:cs="Arial"/>
                <w:sz w:val="24"/>
                <w:szCs w:val="24"/>
              </w:rPr>
              <w:t xml:space="preserve"> sieciowy o mocy max. 200W, zapewniający pracę bez ograniczenia wydajności.”</w:t>
            </w:r>
          </w:p>
          <w:p w14:paraId="411721C1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Czy Zamawiający zgodzi się na zasilacz 280W spełniający wszystkie pozostałe kryteria? Aktualne zapisy uniemożliwiają złożenie oferty przez jednego z czołowych producentów.</w:t>
            </w:r>
          </w:p>
          <w:p w14:paraId="2F76BA1D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Wielu producentów wraz z wprowadzenia na rynek nowej generacji sprzętu stosuje teraz bardziej wydajne zasilacze, które standardowo cechują się wyższą mocą przy jednoczesnym zachowaniu lub poprawie efektywności energetycznej. Takie zasilacze są projektowane z myślą o zapewnieniu stabilności i możliwości rozbudowy komputera w przyszłości, bez konieczności przekraczania optymalnego obciążenia. Opisany parametr mocy zasilacza w praktyce oznacza jego wydajność prądową, a samo zużycie energii przez cały komputer uwarunkowane jest zużyciem energii przez poszczególne podzespoły, zatem proponowane rozwiązanie ma same zalety, w porównaniu do wymaganego (większa wydajność i stabilność na potrzeby ew. przyszłej rozbudowy, bez wpływu na zużycie energii).</w:t>
            </w:r>
          </w:p>
          <w:p w14:paraId="78CEAB92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lastRenderedPageBreak/>
              <w:t>Dopuszczenie proponowanej zmiany wpłynęłoby pozytywnie na konkurencyjność składanych ofert.</w:t>
            </w:r>
          </w:p>
          <w:p w14:paraId="755F931E" w14:textId="77777777" w:rsidR="0008702D" w:rsidRPr="00035DEC" w:rsidRDefault="0008702D" w:rsidP="000870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771E9B5" w14:textId="77777777" w:rsidR="0059391F" w:rsidRPr="00035DEC" w:rsidRDefault="0059391F" w:rsidP="0059391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dopuszcza.</w:t>
            </w:r>
          </w:p>
          <w:p w14:paraId="06F80EE1" w14:textId="77777777" w:rsidR="0008702D" w:rsidRDefault="0008702D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5BCB284" w14:textId="30BBA01F" w:rsidR="005437F7" w:rsidRPr="005437F7" w:rsidRDefault="005437F7" w:rsidP="0008702D">
            <w:pPr>
              <w:numPr>
                <w:ilvl w:val="0"/>
                <w:numId w:val="9"/>
              </w:numPr>
              <w:spacing w:after="120" w:line="360" w:lineRule="auto"/>
              <w:ind w:left="456" w:right="-72" w:hanging="45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Dot. części 2. - Stacja robocza typu Tower</w:t>
            </w:r>
          </w:p>
          <w:p w14:paraId="53193E3B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Czy Zamawiający dopuści zasilacz o mocy 280W</w:t>
            </w:r>
          </w:p>
          <w:p w14:paraId="0A7533D4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Zamawiający określił wymóg:</w:t>
            </w:r>
          </w:p>
          <w:p w14:paraId="4D52100D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5437F7">
              <w:rPr>
                <w:rFonts w:ascii="Arial" w:hAnsi="Arial" w:cs="Arial"/>
                <w:sz w:val="24"/>
                <w:szCs w:val="24"/>
              </w:rPr>
              <w:t>“ Zasilacz</w:t>
            </w:r>
            <w:proofErr w:type="gramEnd"/>
            <w:r w:rsidRPr="005437F7">
              <w:rPr>
                <w:rFonts w:ascii="Arial" w:hAnsi="Arial" w:cs="Arial"/>
                <w:sz w:val="24"/>
                <w:szCs w:val="24"/>
              </w:rPr>
              <w:t xml:space="preserve"> sieciowy o mocy min. 300W, zapewniający pracę bez ograniczenia wydajności.”</w:t>
            </w:r>
          </w:p>
          <w:p w14:paraId="603E99DD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Czy zamawiający zgodzi się na zasilacz 280W spełniający wszystkie pozostałe kryteria? Aktualne zapisy uniemożliwiają złożenie oferty przez jednego z czołowych producentów.</w:t>
            </w:r>
          </w:p>
          <w:p w14:paraId="5CA196A3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Wielu producentów wraz z wprowadzenia na rynek nowej generacji sprzętu stosuje teraz bardziej wydajne zasilacze, które standardowo cechują się wyższą mocą przy jednoczesnym zachowaniu lub poprawie efektywności energetycznej. W przypadku oferowanego komputera producent ustalił, że moc maksymalna na poziomie 280W będzie wystarczająca dla potrzeb całego komputera. Różnica w stosunku do wymagania, to tylko 20W, co nie wpłynie na stabilność pracy komputera, a pozwoli na zaoferowanie znacznie szerszej gamy produktów. Dopuszczenie proponowanej zmiany wpłynęłoby pozytywnie na konkurencyjność składanych ofert.</w:t>
            </w:r>
          </w:p>
          <w:p w14:paraId="037E27AF" w14:textId="77777777" w:rsidR="0008702D" w:rsidRPr="00035DEC" w:rsidRDefault="0008702D" w:rsidP="000870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54A430A" w14:textId="77777777" w:rsidR="0059391F" w:rsidRPr="00035DEC" w:rsidRDefault="0059391F" w:rsidP="0059391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dopuszcza.</w:t>
            </w:r>
          </w:p>
          <w:p w14:paraId="10576303" w14:textId="77777777" w:rsidR="0008702D" w:rsidRDefault="0008702D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AB831C" w14:textId="77B9CB6F" w:rsidR="005437F7" w:rsidRPr="005437F7" w:rsidRDefault="005437F7" w:rsidP="0008702D">
            <w:pPr>
              <w:numPr>
                <w:ilvl w:val="0"/>
                <w:numId w:val="9"/>
              </w:numPr>
              <w:spacing w:after="120" w:line="360" w:lineRule="auto"/>
              <w:ind w:left="456" w:right="-7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Dot. części 2. - Stacja robocza typu Tower</w:t>
            </w:r>
          </w:p>
          <w:p w14:paraId="4FD1C6FA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Zamawiający określił wymóg:</w:t>
            </w:r>
          </w:p>
          <w:p w14:paraId="3DCB3DC3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 xml:space="preserve">„3 porty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lub HDMI”</w:t>
            </w:r>
          </w:p>
          <w:p w14:paraId="390D2C9E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 xml:space="preserve">Czy Zamawiający dopuści wykorzystanie na potrzeby uzyskania jednego z portów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lub HDMI wbudowanego portu USB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Type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-C obsługującego technologię Alt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Mode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437F7">
              <w:rPr>
                <w:rFonts w:ascii="Arial" w:hAnsi="Arial" w:cs="Arial"/>
                <w:sz w:val="24"/>
                <w:szCs w:val="24"/>
              </w:rPr>
              <w:t>DisplayPort</w:t>
            </w:r>
            <w:proofErr w:type="spellEnd"/>
            <w:r w:rsidRPr="005437F7">
              <w:rPr>
                <w:rFonts w:ascii="Arial" w:hAnsi="Arial" w:cs="Arial"/>
                <w:sz w:val="24"/>
                <w:szCs w:val="24"/>
              </w:rPr>
              <w:t>™ 1.4, umożliwiającego podłączenie za jego pomocą nie tylko wyświetlaczy i monitorów, ale też wielu innych nowoczesnych sprzętów? Dzięki temu rozwiązaniu</w:t>
            </w:r>
          </w:p>
          <w:p w14:paraId="49758DE1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zapewniona będzie obsługa pełnego kompletu urządzeń, w tym najnowocześniejszych, wykorzystujących do transmisji danych złącze USB-C.</w:t>
            </w:r>
          </w:p>
          <w:p w14:paraId="3DD0BA78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Aktualne zapisy znacząco wpłyną na konkurencyjność oferty.</w:t>
            </w:r>
          </w:p>
          <w:p w14:paraId="3392A691" w14:textId="77777777" w:rsidR="0008702D" w:rsidRPr="00035DEC" w:rsidRDefault="0008702D" w:rsidP="000870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05A26E6" w14:textId="77777777" w:rsidR="0059391F" w:rsidRPr="00035DEC" w:rsidRDefault="0059391F" w:rsidP="0059391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dopuszcza.</w:t>
            </w:r>
          </w:p>
          <w:p w14:paraId="111D7EB5" w14:textId="77777777" w:rsidR="0008702D" w:rsidRDefault="0008702D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9BF095" w14:textId="1E6C2139" w:rsidR="005437F7" w:rsidRPr="005437F7" w:rsidRDefault="005437F7" w:rsidP="0008702D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Dotyczy części 3. Czytnik e-dowodu</w:t>
            </w:r>
          </w:p>
          <w:p w14:paraId="4C6974E5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 xml:space="preserve">Czy Zamawiający dopuści Czytnik o wymiarach 95 x 62 x 14 </w:t>
            </w:r>
            <w:proofErr w:type="gramStart"/>
            <w:r w:rsidRPr="005437F7">
              <w:rPr>
                <w:rFonts w:ascii="Arial" w:hAnsi="Arial" w:cs="Arial"/>
                <w:sz w:val="24"/>
                <w:szCs w:val="24"/>
              </w:rPr>
              <w:t>mm ?</w:t>
            </w:r>
            <w:proofErr w:type="gramEnd"/>
          </w:p>
          <w:p w14:paraId="04B65D45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Zamawiający określił wymóg: “Wymiary: 62 x 95 x 13mm”</w:t>
            </w:r>
          </w:p>
          <w:p w14:paraId="6324DF01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Różnica jednego milimetra grubości urządzenia nie będzie odczuwalna przez użytkownika urządzenia, a pozwoli na zaoferowanie znacznie szerszej gamy urządzeń, w tym urządzeń z najnowszej gamy produktowej renomowanego producenta Reiner SCT.</w:t>
            </w:r>
          </w:p>
          <w:p w14:paraId="6C797F19" w14:textId="77777777" w:rsidR="0008702D" w:rsidRPr="00035DEC" w:rsidRDefault="0008702D" w:rsidP="000870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A1C2BFB" w14:textId="1F51DCEE" w:rsidR="0059391F" w:rsidRPr="00035DEC" w:rsidRDefault="0059391F" w:rsidP="0059391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dopuszcza.</w:t>
            </w:r>
          </w:p>
          <w:p w14:paraId="1B782D95" w14:textId="77777777" w:rsidR="0008702D" w:rsidRDefault="0008702D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1B68D48" w14:textId="677848C0" w:rsidR="005437F7" w:rsidRPr="005437F7" w:rsidRDefault="005437F7" w:rsidP="0008702D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Dotyczy części 2. Stacja robocza typu SFF</w:t>
            </w:r>
          </w:p>
          <w:p w14:paraId="6356E456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Czy Zamawiający dopuści monitory o rozdzielczości 1920x</w:t>
            </w:r>
            <w:proofErr w:type="gramStart"/>
            <w:r w:rsidRPr="005437F7">
              <w:rPr>
                <w:rFonts w:ascii="Arial" w:hAnsi="Arial" w:cs="Arial"/>
                <w:sz w:val="24"/>
                <w:szCs w:val="24"/>
              </w:rPr>
              <w:t>1080 ?</w:t>
            </w:r>
            <w:proofErr w:type="gramEnd"/>
          </w:p>
          <w:p w14:paraId="1782A7A3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Zamawiający określił wymóg: “Rozdzielczość co najmniej 1920x1200”</w:t>
            </w:r>
          </w:p>
          <w:p w14:paraId="0A65DD61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 xml:space="preserve">Przekątna ekranu 23,8 cala stanowi standardowy wymiar monitorów dostępnych obecnie na rynku w przedziale 23,5–24,5 cala i jest powszechnie stosowana w urządzeniach oferujących rozdzielczość Full HD 1920×1080. Jednocześnie monitory o tej przekątnej znacznie rzadziej występują w konfiguracji o podwyższonej rozdzielczości 1920×1200. W związku z powyższym konieczne jest </w:t>
            </w:r>
            <w:proofErr w:type="gramStart"/>
            <w:r w:rsidRPr="005437F7">
              <w:rPr>
                <w:rFonts w:ascii="Arial" w:hAnsi="Arial" w:cs="Arial"/>
                <w:sz w:val="24"/>
                <w:szCs w:val="24"/>
              </w:rPr>
              <w:t>doprecyzowanie,</w:t>
            </w:r>
            <w:proofErr w:type="gramEnd"/>
            <w:r w:rsidRPr="005437F7">
              <w:rPr>
                <w:rFonts w:ascii="Arial" w:hAnsi="Arial" w:cs="Arial"/>
                <w:sz w:val="24"/>
                <w:szCs w:val="24"/>
              </w:rPr>
              <w:t xml:space="preserve"> czy monitor o przekątnej mieszczącej się w wymaganym zakresie, lecz wyposażony w typową dla tego segmentu rynkowego rozdzielczość 1920×1080, może zostać uznany za spełniający wymagania zamawiającego — zwłaszcza w sytuacji, gdy posiada dodatkowo złącze USB-C, będące jednym z kluczowych parametrów funkcjonalnych. Aktualne zapisy znacząco wpłyną na konkurencyjność oferty.</w:t>
            </w:r>
          </w:p>
          <w:p w14:paraId="0C8BD29B" w14:textId="77777777" w:rsidR="0008702D" w:rsidRPr="00035DEC" w:rsidRDefault="0008702D" w:rsidP="000870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29567C3" w14:textId="77777777" w:rsidR="0059391F" w:rsidRPr="00035DEC" w:rsidRDefault="0059391F" w:rsidP="0059391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dopuszcza.</w:t>
            </w:r>
          </w:p>
          <w:p w14:paraId="035CFFDF" w14:textId="77777777" w:rsidR="0008702D" w:rsidRDefault="0008702D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E1BC60B" w14:textId="14D0DE0D" w:rsidR="005437F7" w:rsidRPr="005437F7" w:rsidRDefault="005437F7" w:rsidP="0008702D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Dotyczy części 2. Stacja robocza typu Tower</w:t>
            </w:r>
          </w:p>
          <w:p w14:paraId="4A896DE9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Czy Zamawiający dopuści monitory o rozdzielczości 1920x</w:t>
            </w:r>
            <w:proofErr w:type="gramStart"/>
            <w:r w:rsidRPr="005437F7">
              <w:rPr>
                <w:rFonts w:ascii="Arial" w:hAnsi="Arial" w:cs="Arial"/>
                <w:sz w:val="24"/>
                <w:szCs w:val="24"/>
              </w:rPr>
              <w:t>1080 ?</w:t>
            </w:r>
            <w:proofErr w:type="gramEnd"/>
          </w:p>
          <w:p w14:paraId="154A67C0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Zamawiający określił wymóg: “Rozdzielczość co najmniej 1920x1200”</w:t>
            </w:r>
          </w:p>
          <w:p w14:paraId="627AFE00" w14:textId="77777777" w:rsidR="005437F7" w:rsidRPr="00035DEC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 xml:space="preserve">Przekątna ekranu 23,8 cala stanowi standardowy wymiar monitorów dostępnych obecnie na rynku w przedziale 23,5–24,5 cala i jest powszechnie stosowana w urządzeniach oferujących rozdzielczość Full HD 1920×1080. Jednocześnie monitory o tej przekątnej znacznie rzadziej występują w konfiguracji o podwyższonej rozdzielczości 1920×1200. W związku z powyższym konieczne jest </w:t>
            </w:r>
            <w:proofErr w:type="gramStart"/>
            <w:r w:rsidRPr="005437F7">
              <w:rPr>
                <w:rFonts w:ascii="Arial" w:hAnsi="Arial" w:cs="Arial"/>
                <w:sz w:val="24"/>
                <w:szCs w:val="24"/>
              </w:rPr>
              <w:t>doprecyzowanie,</w:t>
            </w:r>
            <w:proofErr w:type="gramEnd"/>
            <w:r w:rsidRPr="005437F7">
              <w:rPr>
                <w:rFonts w:ascii="Arial" w:hAnsi="Arial" w:cs="Arial"/>
                <w:sz w:val="24"/>
                <w:szCs w:val="24"/>
              </w:rPr>
              <w:t xml:space="preserve"> czy monitor o przekątnej mieszczącej się w wymaganym zakresie, lecz wyposażony w typową dla tego segmentu rynkowego rozdzielczość 1920×1080, może zostać uznany za spełniający wymagania zamawiającego — zwłaszcza w sytuacji, gdy posiada dodatkowo złącze USB-C, będące jednym z kluczowych parametrów funkcjonalnych. Aktualne zapisy znacząco wpłyną na konkurencyjność oferty.</w:t>
            </w:r>
          </w:p>
          <w:p w14:paraId="236F2A42" w14:textId="77777777" w:rsidR="005437F7" w:rsidRPr="00035DEC" w:rsidRDefault="005437F7" w:rsidP="0031112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E2BEE2B" w14:textId="77777777" w:rsidR="0059391F" w:rsidRPr="00035DEC" w:rsidRDefault="0059391F" w:rsidP="0059391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dopuszcza.</w:t>
            </w:r>
          </w:p>
          <w:p w14:paraId="77C5275D" w14:textId="77777777" w:rsidR="005437F7" w:rsidRDefault="005437F7" w:rsidP="003111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  <w:p w14:paraId="7AB4DACC" w14:textId="488D821B" w:rsidR="0008702D" w:rsidRPr="005437F7" w:rsidRDefault="0008702D" w:rsidP="003111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5437F7" w:rsidRPr="009003D1" w14:paraId="52E7AC48" w14:textId="77777777" w:rsidTr="0031112A">
        <w:tc>
          <w:tcPr>
            <w:tcW w:w="9356" w:type="dxa"/>
            <w:shd w:val="clear" w:color="auto" w:fill="auto"/>
          </w:tcPr>
          <w:p w14:paraId="74DD5EFB" w14:textId="77777777" w:rsidR="005437F7" w:rsidRPr="00035DEC" w:rsidRDefault="005437F7" w:rsidP="0031112A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5437F7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5146A731" w14:textId="28BC001F" w:rsidR="005437F7" w:rsidRPr="005437F7" w:rsidRDefault="005437F7" w:rsidP="0008702D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Dotyczy: Załącznik nr 2 do SWZ OPZ Grupa 3 - Dostawa wyposażenia informatycznego obejmującego: czytniki e-dowodu w ilości 20 sztuk.</w:t>
            </w:r>
          </w:p>
          <w:p w14:paraId="1E88E988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Zamawiający bardzo dokładnie definiuje wymiary urządzenia podając je w dokładności do pojedynczych milimetrów „Wymiary: 62 x 95 x 13mm”.</w:t>
            </w:r>
          </w:p>
          <w:p w14:paraId="0573BB03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W naszej opinii tak szczegółowo wskazany rozmiar urządzenia znacząco ogranicza dostępne urządzenia, niezależnie od funkcjonalności tych urządzeń, a wyłącznie ze względu na ich rozmiar. Co oznacza, że urządzenie spełniające wszystkie wymagania zamawiającego, a będące choćby o kilka milimetrów większe, bądź miększe nie może zostać zaoferowane.</w:t>
            </w:r>
          </w:p>
          <w:p w14:paraId="43DA02D5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W związku z powyższym uprzejmie prosimy o zmianę tego parametru na „Wymiary minimalne: 62 x 95 x 13mm” lub o całkowite wykreślenie tego wymagania.</w:t>
            </w:r>
          </w:p>
          <w:p w14:paraId="3C9359AC" w14:textId="0B1165BA" w:rsidR="0008702D" w:rsidRDefault="0008702D" w:rsidP="000870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5784D30" w14:textId="576220E2" w:rsidR="0008702D" w:rsidRPr="0008702D" w:rsidRDefault="0008702D" w:rsidP="0008702D">
            <w:pPr>
              <w:spacing w:after="4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702D">
              <w:rPr>
                <w:rFonts w:ascii="Arial" w:hAnsi="Arial" w:cs="Arial"/>
                <w:b/>
                <w:bCs/>
                <w:sz w:val="24"/>
                <w:szCs w:val="24"/>
              </w:rPr>
              <w:t>Zamawiający zmienia zapis i dopuszcza następujące rozmiary: Wymiary minimalne: 62 x 95 x 13mm, Wymiary maksymalne: 160 x 140 x 40 mm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08702D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1DAB8DAE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459CBD" w14:textId="5EF6D691" w:rsidR="005437F7" w:rsidRPr="005437F7" w:rsidRDefault="005437F7" w:rsidP="0008702D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Dotyczy: Załącznik nr 2 do SWZ OPZ Grupa 3 - Dostawa wyposażenia informatycznego obejmującego: czytniki e-dowodu w ilości 20 sztuk.</w:t>
            </w:r>
          </w:p>
          <w:p w14:paraId="5D9AEED4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Zamawiający wymaga, aby dostarczone czytniki posiadały wyświetlacz LCD.</w:t>
            </w:r>
          </w:p>
          <w:p w14:paraId="1BC911A3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Chcielibyśmy zwrócić uwagę, że na polskim rynku dostępne są czytniki, które posiadają podświetlany lub niepodświetlany wyświetlacz. Zastosowanie czytników bez podświetlenia ekranu w pomieszczeniach o zmiennym natężeniu i źródle światła może powodować problemy z czytelnością komunikatów przez część użytkowników.</w:t>
            </w:r>
          </w:p>
          <w:p w14:paraId="0BB64CCC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W związku z powyższym, zwracamy się prośbą o dodanie wymagania: „wbudowany podświetlany wyświetlacz o regulowanej jasności ekranu.”</w:t>
            </w:r>
          </w:p>
          <w:p w14:paraId="3E925D61" w14:textId="77777777" w:rsidR="0008702D" w:rsidRPr="00035DEC" w:rsidRDefault="0008702D" w:rsidP="0008702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BACD286" w14:textId="2559E00E" w:rsidR="005437F7" w:rsidRDefault="0059391F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391F">
              <w:rPr>
                <w:rFonts w:ascii="Arial" w:hAnsi="Arial" w:cs="Arial"/>
                <w:b/>
                <w:bCs/>
                <w:sz w:val="24"/>
                <w:szCs w:val="24"/>
              </w:rPr>
              <w:t>Zamawiający wyraża zgodę i doda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je</w:t>
            </w:r>
            <w:r w:rsidRPr="0059391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wymaganie: „wbudowany podświetlany wyświetlacz o regulowanej jasności ekranu.”</w:t>
            </w:r>
          </w:p>
          <w:p w14:paraId="75FC94A7" w14:textId="77777777" w:rsidR="0059391F" w:rsidRPr="0059391F" w:rsidRDefault="0059391F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ABE45B3" w14:textId="46F85024" w:rsidR="005437F7" w:rsidRPr="005437F7" w:rsidRDefault="005437F7" w:rsidP="0008702D">
            <w:pPr>
              <w:numPr>
                <w:ilvl w:val="0"/>
                <w:numId w:val="10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 xml:space="preserve">Dotyczy: Załącznik nr 2 do SWZ OPZ Grupa 3 - Dostawa wyposażenia informatycznego obejmującego: czytniki e-dowodu w ilości 20 sztuk. </w:t>
            </w:r>
          </w:p>
          <w:p w14:paraId="6084BAA5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F924E1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Chcielibyśmy zwrócić uwagę, że na polskim rynku dostępne są czytniki, które posiadają lub nie posiadają wbudowanej sygnalizacji akustycznej potwierdzającej naciśnięcie klawisza. Urządzenia posiadające tę funkcjonalność znacząco wpływają na poprawę komfortu i jakości pracy z urządzeniem.</w:t>
            </w:r>
          </w:p>
          <w:p w14:paraId="1708BCE2" w14:textId="77777777" w:rsidR="005437F7" w:rsidRPr="005437F7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42E838" w14:textId="77777777" w:rsidR="005437F7" w:rsidRPr="00035DEC" w:rsidRDefault="005437F7" w:rsidP="0031112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37F7">
              <w:rPr>
                <w:rFonts w:ascii="Arial" w:hAnsi="Arial" w:cs="Arial"/>
                <w:sz w:val="24"/>
                <w:szCs w:val="24"/>
              </w:rPr>
              <w:t>W związku z powyższym, zwracamy się prośbą o dodanie wymagania: „Sygnalizacja akustyczna potwierdzająca naciśnięcia klawiszy (np. wbudowany brzęczyk lub głośnik)"</w:t>
            </w:r>
          </w:p>
          <w:p w14:paraId="32D37613" w14:textId="77777777" w:rsidR="005437F7" w:rsidRPr="00035DEC" w:rsidRDefault="005437F7" w:rsidP="0031112A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565868C" w14:textId="517D963A" w:rsidR="005437F7" w:rsidRPr="0059391F" w:rsidRDefault="0059391F" w:rsidP="0031112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  <w:highlight w:val="darkGray"/>
              </w:rPr>
            </w:pPr>
            <w:r w:rsidRPr="0059391F">
              <w:rPr>
                <w:rFonts w:ascii="Arial" w:hAnsi="Arial" w:cs="Arial"/>
                <w:b/>
                <w:bCs/>
                <w:sz w:val="24"/>
                <w:szCs w:val="24"/>
              </w:rPr>
              <w:t>Zamawiający wyraża zgodę i doda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je</w:t>
            </w:r>
            <w:r w:rsidRPr="0059391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wymaganie: „Sygnalizacja akustyczna potwierdzająca naciśnięcia klawiszy (np. wbudowany brzęczyk lub głośnik)"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1CC93713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4BF6412F" w14:textId="77777777" w:rsidR="00CD0EB6" w:rsidRDefault="00CD0EB6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E52A379" w14:textId="167B0143" w:rsidR="006D4AB3" w:rsidRDefault="006D4AB3" w:rsidP="00CD0EB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07EC17F9" w14:textId="68DBFAE5" w:rsidR="00CD0EB6" w:rsidRDefault="00CD0EB6" w:rsidP="00CD0EB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p.o. Z-ca Dyrektora ds. Ekonomicznych</w:t>
      </w:r>
    </w:p>
    <w:p w14:paraId="5A351468" w14:textId="451ECDF8" w:rsidR="00CD0EB6" w:rsidRPr="009003D1" w:rsidRDefault="00CD0EB6" w:rsidP="00CD0EB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CD0EB6" w:rsidRPr="009003D1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FF866" w14:textId="77777777" w:rsidR="00F25026" w:rsidRDefault="00F25026">
      <w:r>
        <w:separator/>
      </w:r>
    </w:p>
  </w:endnote>
  <w:endnote w:type="continuationSeparator" w:id="0">
    <w:p w14:paraId="63964280" w14:textId="77777777" w:rsidR="00F25026" w:rsidRDefault="00F25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4DD5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CC8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136A3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09C03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079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B6B4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4A7A9E" w14:textId="77777777" w:rsidR="006D4AB3" w:rsidRDefault="006D4AB3">
    <w:pPr>
      <w:pStyle w:val="Stopka"/>
      <w:tabs>
        <w:tab w:val="clear" w:pos="4536"/>
        <w:tab w:val="left" w:pos="6237"/>
      </w:tabs>
    </w:pPr>
  </w:p>
  <w:p w14:paraId="0E4EF36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957F1" w14:textId="77777777" w:rsidR="00F25026" w:rsidRDefault="00F25026">
      <w:r>
        <w:separator/>
      </w:r>
    </w:p>
  </w:footnote>
  <w:footnote w:type="continuationSeparator" w:id="0">
    <w:p w14:paraId="13E1830D" w14:textId="77777777" w:rsidR="00F25026" w:rsidRDefault="00F25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86BE4" w14:textId="034AA432" w:rsidR="005437F7" w:rsidRDefault="00CD0EB6">
    <w:pPr>
      <w:pStyle w:val="Nagwek"/>
    </w:pPr>
    <w:r>
      <w:rPr>
        <w:noProof/>
      </w:rPr>
      <w:drawing>
        <wp:inline distT="0" distB="0" distL="0" distR="0" wp14:anchorId="6189C94F" wp14:editId="150C175C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D276DCD"/>
    <w:multiLevelType w:val="hybridMultilevel"/>
    <w:tmpl w:val="E938C73A"/>
    <w:lvl w:ilvl="0" w:tplc="B61619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1D96778"/>
    <w:multiLevelType w:val="hybridMultilevel"/>
    <w:tmpl w:val="0DF26EC8"/>
    <w:lvl w:ilvl="0" w:tplc="7048FD0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7DBE3B69"/>
    <w:multiLevelType w:val="hybridMultilevel"/>
    <w:tmpl w:val="6B32CD92"/>
    <w:lvl w:ilvl="0" w:tplc="1A1AB71E">
      <w:start w:val="3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563151379">
    <w:abstractNumId w:val="4"/>
  </w:num>
  <w:num w:numId="2" w16cid:durableId="1299140501">
    <w:abstractNumId w:val="7"/>
  </w:num>
  <w:num w:numId="3" w16cid:durableId="1575700529">
    <w:abstractNumId w:val="3"/>
  </w:num>
  <w:num w:numId="4" w16cid:durableId="1224172731">
    <w:abstractNumId w:val="6"/>
  </w:num>
  <w:num w:numId="5" w16cid:durableId="388381396">
    <w:abstractNumId w:val="0"/>
  </w:num>
  <w:num w:numId="6" w16cid:durableId="380321829">
    <w:abstractNumId w:val="2"/>
  </w:num>
  <w:num w:numId="7" w16cid:durableId="359089997">
    <w:abstractNumId w:val="5"/>
  </w:num>
  <w:num w:numId="8" w16cid:durableId="1559196898">
    <w:abstractNumId w:val="1"/>
  </w:num>
  <w:num w:numId="9" w16cid:durableId="1013874106">
    <w:abstractNumId w:val="9"/>
  </w:num>
  <w:num w:numId="10" w16cid:durableId="12098810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026"/>
    <w:rsid w:val="00031374"/>
    <w:rsid w:val="00035DEC"/>
    <w:rsid w:val="0008702D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37F7"/>
    <w:rsid w:val="0059391F"/>
    <w:rsid w:val="005B1B08"/>
    <w:rsid w:val="00632C3C"/>
    <w:rsid w:val="00662BDB"/>
    <w:rsid w:val="006A5DF1"/>
    <w:rsid w:val="006B7198"/>
    <w:rsid w:val="006D4AB3"/>
    <w:rsid w:val="006F3B81"/>
    <w:rsid w:val="007D7198"/>
    <w:rsid w:val="007F30A3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D0EB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1C7B"/>
    <w:rsid w:val="00F2502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80D048"/>
  <w15:chartTrackingRefBased/>
  <w15:docId w15:val="{9660BA49-9DB5-4FD8-8E89-75598D14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91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0870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8702D"/>
  </w:style>
  <w:style w:type="character" w:customStyle="1" w:styleId="TekstkomentarzaZnak">
    <w:name w:val="Tekst komentarza Znak"/>
    <w:basedOn w:val="Domylnaczcionkaakapitu"/>
    <w:link w:val="Tekstkomentarza"/>
    <w:rsid w:val="0008702D"/>
  </w:style>
  <w:style w:type="paragraph" w:styleId="Tematkomentarza">
    <w:name w:val="annotation subject"/>
    <w:basedOn w:val="Tekstkomentarza"/>
    <w:next w:val="Tekstkomentarza"/>
    <w:link w:val="TematkomentarzaZnak"/>
    <w:rsid w:val="000870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870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7</Pages>
  <Words>1281</Words>
  <Characters>8567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3</cp:revision>
  <cp:lastPrinted>2025-12-23T08:47:00Z</cp:lastPrinted>
  <dcterms:created xsi:type="dcterms:W3CDTF">2025-12-20T18:00:00Z</dcterms:created>
  <dcterms:modified xsi:type="dcterms:W3CDTF">2025-12-23T08:48:00Z</dcterms:modified>
</cp:coreProperties>
</file>