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032C2DEB" w:rsidR="00D62E6E" w:rsidRPr="00926B32" w:rsidRDefault="003B7D90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B7D90">
              <w:rPr>
                <w:rFonts w:ascii="Times New Roman" w:eastAsia="Times New Roman" w:hAnsi="Times New Roman"/>
                <w:b/>
                <w:bCs/>
                <w:lang w:eastAsia="pl-PL"/>
              </w:rPr>
              <w:t>Zakup diatermii chirurgicznej oraz kozetki elektrycznej w ramach realizacji zadania: Zakup niezbędnego sprzętu medycznego i wyposażenia na potrzeby Oddziału  Chirurgii Ogólnej i Chirurgii Onkologicznej Szpitala Wojewódzkiego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3B8ECF22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0714B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3B7D90">
              <w:rPr>
                <w:rFonts w:ascii="Times New Roman" w:eastAsia="Times New Roman" w:hAnsi="Times New Roman"/>
                <w:bCs/>
                <w:lang w:eastAsia="pl-PL"/>
              </w:rPr>
              <w:t>42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3B7D90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3B7D90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B7D9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55880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236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2010-01-07T09:39:00Z</cp:lastPrinted>
  <dcterms:created xsi:type="dcterms:W3CDTF">2025-03-10T08:55:00Z</dcterms:created>
  <dcterms:modified xsi:type="dcterms:W3CDTF">2025-10-28T10:53:00Z</dcterms:modified>
</cp:coreProperties>
</file>