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72B26" w14:textId="2C993C01" w:rsidR="00AD362A" w:rsidRPr="00AD362A" w:rsidRDefault="001C0C2B" w:rsidP="00AD362A">
      <w:pPr>
        <w:pStyle w:val="Tytu"/>
        <w:jc w:val="right"/>
        <w:rPr>
          <w:sz w:val="20"/>
          <w:szCs w:val="20"/>
        </w:rPr>
      </w:pPr>
      <w:bookmarkStart w:id="0" w:name="_heading=h.um8b14sldik" w:colFirst="0" w:colLast="0"/>
      <w:bookmarkEnd w:id="0"/>
      <w:r w:rsidRPr="00AD362A">
        <w:rPr>
          <w:sz w:val="20"/>
          <w:szCs w:val="20"/>
        </w:rPr>
        <w:t>Załącznik nr 2</w:t>
      </w:r>
      <w:r w:rsidR="00AD362A">
        <w:rPr>
          <w:sz w:val="20"/>
          <w:szCs w:val="20"/>
        </w:rPr>
        <w:t xml:space="preserve"> do SWZ</w:t>
      </w:r>
    </w:p>
    <w:p w14:paraId="36BA6E0C" w14:textId="712EB79E" w:rsidR="004F6ECF" w:rsidRPr="00AD362A" w:rsidRDefault="001C0C2B" w:rsidP="00AD362A">
      <w:pPr>
        <w:pStyle w:val="Tytu"/>
        <w:jc w:val="left"/>
        <w:rPr>
          <w:sz w:val="24"/>
          <w:szCs w:val="24"/>
        </w:rPr>
      </w:pPr>
      <w:r w:rsidRPr="00AD362A">
        <w:rPr>
          <w:sz w:val="24"/>
          <w:szCs w:val="24"/>
        </w:rPr>
        <w:t>Warunki Techniczne Pojazdów</w:t>
      </w:r>
    </w:p>
    <w:p w14:paraId="291C8BDE" w14:textId="77777777" w:rsidR="004F6ECF" w:rsidRDefault="004F6ECF">
      <w:pPr>
        <w:spacing w:line="276" w:lineRule="auto"/>
        <w:ind w:right="4"/>
        <w:jc w:val="both"/>
      </w:pPr>
    </w:p>
    <w:p w14:paraId="472E7E64" w14:textId="77777777" w:rsidR="004F6ECF" w:rsidRDefault="001C0C2B">
      <w:pPr>
        <w:spacing w:line="276" w:lineRule="auto"/>
        <w:ind w:right="4"/>
        <w:jc w:val="both"/>
      </w:pPr>
      <w:r>
        <w:t>Do realizacji przewozów wymagane są pojazdy spełniające następujące warunki i zapisy:</w:t>
      </w:r>
    </w:p>
    <w:p w14:paraId="5DB3ABC0" w14:textId="77777777" w:rsidR="004F6ECF" w:rsidRDefault="004F6ECF">
      <w:pPr>
        <w:spacing w:line="276" w:lineRule="auto"/>
        <w:ind w:right="4"/>
        <w:jc w:val="both"/>
      </w:pPr>
    </w:p>
    <w:p w14:paraId="50D0D464" w14:textId="77777777" w:rsidR="004F6ECF" w:rsidRDefault="001C0C2B">
      <w:pPr>
        <w:numPr>
          <w:ilvl w:val="0"/>
          <w:numId w:val="1"/>
        </w:numPr>
        <w:spacing w:line="276" w:lineRule="auto"/>
        <w:ind w:right="4"/>
        <w:jc w:val="both"/>
      </w:pPr>
      <w:r>
        <w:t>okres przejściowy oznacza okres pierwszych 4 miesięcy od dnia rozpoczęcia świadczenia umowy;</w:t>
      </w:r>
    </w:p>
    <w:p w14:paraId="7670F2E4" w14:textId="77777777" w:rsidR="004F6ECF" w:rsidRDefault="001C0C2B">
      <w:pPr>
        <w:numPr>
          <w:ilvl w:val="0"/>
          <w:numId w:val="1"/>
        </w:numPr>
        <w:spacing w:line="276" w:lineRule="auto"/>
        <w:ind w:right="4"/>
        <w:jc w:val="both"/>
        <w:rPr>
          <w:color w:val="262626"/>
        </w:rPr>
      </w:pPr>
      <w:r>
        <w:t xml:space="preserve">pojazdy nr 1, 2, 3, 4, </w:t>
      </w:r>
      <w:proofErr w:type="spellStart"/>
      <w:r>
        <w:t>tj</w:t>
      </w:r>
      <w:proofErr w:type="spellEnd"/>
      <w:r>
        <w:t xml:space="preserve">, </w:t>
      </w:r>
      <w:r>
        <w:rPr>
          <w:b/>
        </w:rPr>
        <w:t>autobusy MIDI</w:t>
      </w:r>
      <w:r>
        <w:t xml:space="preserve"> (w łącznej liczbie </w:t>
      </w:r>
      <w:r>
        <w:rPr>
          <w:b/>
        </w:rPr>
        <w:t>co najmniej 4 sztuki)</w:t>
      </w:r>
      <w:r>
        <w:t xml:space="preserve"> z następującymi parametrami</w:t>
      </w:r>
      <w:r>
        <w:rPr>
          <w:color w:val="262626"/>
        </w:rPr>
        <w:t>:</w:t>
      </w:r>
    </w:p>
    <w:p w14:paraId="66230A9D" w14:textId="77777777" w:rsidR="004F6ECF" w:rsidRDefault="001C0C2B">
      <w:pPr>
        <w:numPr>
          <w:ilvl w:val="1"/>
          <w:numId w:val="1"/>
        </w:numPr>
        <w:jc w:val="both"/>
      </w:pPr>
      <w:r>
        <w:t>umożliwiające przewóz co najmniej 52 osób, z czego co najmniej 23 osób na miejscach siedzących,</w:t>
      </w:r>
    </w:p>
    <w:p w14:paraId="695B178D" w14:textId="77777777" w:rsidR="004F6ECF" w:rsidRDefault="001C0C2B">
      <w:pPr>
        <w:numPr>
          <w:ilvl w:val="1"/>
          <w:numId w:val="1"/>
        </w:numPr>
        <w:jc w:val="both"/>
      </w:pPr>
      <w:r>
        <w:t>ich długość nie przekracza 10,8 metrów,</w:t>
      </w:r>
    </w:p>
    <w:p w14:paraId="66A3795A" w14:textId="77777777" w:rsidR="004F6ECF" w:rsidRDefault="001C0C2B">
      <w:pPr>
        <w:numPr>
          <w:ilvl w:val="1"/>
          <w:numId w:val="1"/>
        </w:numPr>
        <w:jc w:val="both"/>
      </w:pPr>
      <w:r>
        <w:t>po okresie przejściowym rok produkcji co najmniej 3 z 4 pojazdów nie przekracza 2025 roku;</w:t>
      </w:r>
    </w:p>
    <w:p w14:paraId="28735893" w14:textId="77777777" w:rsidR="004F6ECF" w:rsidRDefault="001C0C2B">
      <w:pPr>
        <w:numPr>
          <w:ilvl w:val="1"/>
          <w:numId w:val="1"/>
        </w:numPr>
        <w:jc w:val="both"/>
      </w:pPr>
      <w:r>
        <w:t>po okresie przejściowym rok produkcji żadnego pojazdu nie przekracza 2014 roku, w okresie przejściowym dopuszczone są pojazdy z rokiem produkcji nie przekraczającym 2012 rok;</w:t>
      </w:r>
    </w:p>
    <w:p w14:paraId="6C19C1F0" w14:textId="77777777" w:rsidR="004F6ECF" w:rsidRDefault="001C0C2B">
      <w:pPr>
        <w:numPr>
          <w:ilvl w:val="1"/>
          <w:numId w:val="1"/>
        </w:numPr>
        <w:spacing w:after="60" w:line="276" w:lineRule="auto"/>
        <w:jc w:val="both"/>
      </w:pPr>
      <w:r>
        <w:t>są wyposażone w automatyczną skrzynię biegów;</w:t>
      </w:r>
    </w:p>
    <w:p w14:paraId="3331F96B" w14:textId="77777777" w:rsidR="004F6ECF" w:rsidRDefault="001C0C2B">
      <w:pPr>
        <w:numPr>
          <w:ilvl w:val="1"/>
          <w:numId w:val="1"/>
        </w:numPr>
        <w:spacing w:after="60" w:line="276" w:lineRule="auto"/>
        <w:jc w:val="both"/>
      </w:pPr>
      <w:r>
        <w:t xml:space="preserve">po okresie przejściowym pojazdy spełniają normę emisji spalin co najmniej </w:t>
      </w:r>
      <w:r>
        <w:rPr>
          <w:b/>
        </w:rPr>
        <w:t>EURO 6</w:t>
      </w:r>
      <w:r>
        <w:t>, w okresie przejściowym dopuszczone są pojazdy spełniające normę emisji spalin co najmniej EURO 5;</w:t>
      </w:r>
    </w:p>
    <w:p w14:paraId="1F3A40A2" w14:textId="77777777" w:rsidR="004F6ECF" w:rsidRDefault="001C0C2B">
      <w:pPr>
        <w:numPr>
          <w:ilvl w:val="1"/>
          <w:numId w:val="1"/>
        </w:numPr>
        <w:jc w:val="both"/>
      </w:pPr>
      <w:r>
        <w:t xml:space="preserve">pojazdy są przystosowane do przewozu osób niepełnosprawnych, </w:t>
      </w:r>
      <w:r>
        <w:rPr>
          <w:b/>
        </w:rPr>
        <w:t>posiadają niską podłogę (dostęp do pojazdu bez schodku) przynajmniej przy pierwszych i drugich drzwiach</w:t>
      </w:r>
      <w:r>
        <w:t>, posiadają platformę wjazdową dla wózków oraz miejsce na minimum jeden wózek inwalidzki;</w:t>
      </w:r>
    </w:p>
    <w:p w14:paraId="18CE5AA0" w14:textId="77777777" w:rsidR="004F6ECF" w:rsidRDefault="001C0C2B">
      <w:pPr>
        <w:numPr>
          <w:ilvl w:val="0"/>
          <w:numId w:val="1"/>
        </w:numPr>
        <w:jc w:val="both"/>
      </w:pPr>
      <w:r>
        <w:t xml:space="preserve">pojazdy nr 5, 6, 7, 8, 9, tj. </w:t>
      </w:r>
      <w:r>
        <w:rPr>
          <w:b/>
          <w:color w:val="262626"/>
        </w:rPr>
        <w:t>autobusy MINI</w:t>
      </w:r>
      <w:r>
        <w:rPr>
          <w:color w:val="262626"/>
        </w:rPr>
        <w:t xml:space="preserve"> (w łącznej liczbie </w:t>
      </w:r>
      <w:r>
        <w:rPr>
          <w:b/>
          <w:color w:val="262626"/>
        </w:rPr>
        <w:t>co najmniej 5 sztuk</w:t>
      </w:r>
      <w:r>
        <w:rPr>
          <w:color w:val="262626"/>
        </w:rPr>
        <w:t xml:space="preserve">) </w:t>
      </w:r>
      <w:r>
        <w:t xml:space="preserve"> z następującymi parametrami</w:t>
      </w:r>
      <w:r>
        <w:rPr>
          <w:b/>
          <w:color w:val="262626"/>
        </w:rPr>
        <w:t>:</w:t>
      </w:r>
    </w:p>
    <w:p w14:paraId="3F776273" w14:textId="77777777" w:rsidR="004F6ECF" w:rsidRDefault="001C0C2B">
      <w:pPr>
        <w:numPr>
          <w:ilvl w:val="1"/>
          <w:numId w:val="1"/>
        </w:numPr>
        <w:jc w:val="both"/>
      </w:pPr>
      <w:r>
        <w:t>umożliwiające przewóz co najmniej</w:t>
      </w:r>
      <w:r w:rsidR="00EA18D5">
        <w:t xml:space="preserve"> 32 osób, z czego co najmniej 15</w:t>
      </w:r>
      <w:r>
        <w:t xml:space="preserve"> osób na miejscach siedzących,</w:t>
      </w:r>
    </w:p>
    <w:p w14:paraId="6208A3B3" w14:textId="77777777" w:rsidR="004F6ECF" w:rsidRDefault="001C0C2B">
      <w:pPr>
        <w:numPr>
          <w:ilvl w:val="1"/>
          <w:numId w:val="1"/>
        </w:numPr>
        <w:jc w:val="both"/>
      </w:pPr>
      <w:r>
        <w:t>ich długość nie przekracza 9 metrów,</w:t>
      </w:r>
    </w:p>
    <w:p w14:paraId="007D06A3" w14:textId="77777777" w:rsidR="004F6ECF" w:rsidRDefault="001C0C2B">
      <w:pPr>
        <w:numPr>
          <w:ilvl w:val="1"/>
          <w:numId w:val="1"/>
        </w:numPr>
        <w:jc w:val="both"/>
      </w:pPr>
      <w:r>
        <w:t>po okresie przejści</w:t>
      </w:r>
      <w:r w:rsidR="00EA18D5">
        <w:t>owym rok produkcji co najmniej 2</w:t>
      </w:r>
      <w:r>
        <w:t xml:space="preserve"> z 5 pojazdów nie przekracza 2025 roku;</w:t>
      </w:r>
    </w:p>
    <w:p w14:paraId="57745150" w14:textId="77777777" w:rsidR="004F6ECF" w:rsidRDefault="001C0C2B">
      <w:pPr>
        <w:numPr>
          <w:ilvl w:val="1"/>
          <w:numId w:val="1"/>
        </w:numPr>
        <w:jc w:val="both"/>
      </w:pPr>
      <w:r>
        <w:t>rok produkcji żadnego pojazdu nie przekracza 2022 roku;</w:t>
      </w:r>
    </w:p>
    <w:p w14:paraId="24604973" w14:textId="77777777" w:rsidR="004F6ECF" w:rsidRDefault="001C0C2B">
      <w:pPr>
        <w:numPr>
          <w:ilvl w:val="1"/>
          <w:numId w:val="1"/>
        </w:numPr>
        <w:spacing w:after="60" w:line="276" w:lineRule="auto"/>
        <w:jc w:val="both"/>
      </w:pPr>
      <w:r>
        <w:t xml:space="preserve">spełniają normę emisji spalin co najmniej </w:t>
      </w:r>
      <w:r>
        <w:rPr>
          <w:b/>
        </w:rPr>
        <w:t>EURO 6;</w:t>
      </w:r>
    </w:p>
    <w:p w14:paraId="1CEE887C" w14:textId="77777777" w:rsidR="004F6ECF" w:rsidRDefault="001C0C2B">
      <w:pPr>
        <w:numPr>
          <w:ilvl w:val="1"/>
          <w:numId w:val="1"/>
        </w:numPr>
        <w:jc w:val="both"/>
      </w:pPr>
      <w:r>
        <w:t xml:space="preserve">pojazdy są przystosowane do przewozu osób niepełnosprawnych, </w:t>
      </w:r>
      <w:r>
        <w:rPr>
          <w:b/>
        </w:rPr>
        <w:t>posiadają niską podłogę (dostęp do pojazdu bez schodku) przynajmniej przy jednych z drzwi dla pasażerów</w:t>
      </w:r>
      <w:r>
        <w:t>, posiadają platformę wjazdową dla wózków oraz miejsce na minimum jeden wózek inwalidzki;</w:t>
      </w:r>
    </w:p>
    <w:p w14:paraId="05F6D05F" w14:textId="77777777" w:rsidR="004F6ECF" w:rsidRDefault="001C0C2B">
      <w:pPr>
        <w:numPr>
          <w:ilvl w:val="0"/>
          <w:numId w:val="1"/>
        </w:numPr>
        <w:jc w:val="both"/>
      </w:pPr>
      <w:r>
        <w:t>pojazdy są wyposażone w ABS;</w:t>
      </w:r>
    </w:p>
    <w:p w14:paraId="68A47F63" w14:textId="77777777" w:rsidR="004F6ECF" w:rsidRDefault="001C0C2B">
      <w:pPr>
        <w:numPr>
          <w:ilvl w:val="0"/>
          <w:numId w:val="1"/>
        </w:numPr>
        <w:jc w:val="both"/>
      </w:pPr>
      <w:r>
        <w:t>pojazdy są wyposażone w sprawną i wydajną klimatyzację: Operator zobowiązany jest do włączenia klimatyzacji i utrzymywania temperatury wewnątrz pojazdu w zależności od wysokości temperatury na zewnątrz, zgodnie z tabelą:</w:t>
      </w:r>
    </w:p>
    <w:p w14:paraId="09B7DF9F" w14:textId="77777777" w:rsidR="004F6ECF" w:rsidRDefault="001C0C2B">
      <w:pPr>
        <w:jc w:val="both"/>
      </w:pPr>
      <w:r>
        <w:tab/>
      </w:r>
    </w:p>
    <w:tbl>
      <w:tblPr>
        <w:tblStyle w:val="ab"/>
        <w:tblW w:w="5134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521"/>
        <w:gridCol w:w="2613"/>
      </w:tblGrid>
      <w:tr w:rsidR="004F6ECF" w14:paraId="3F38DC4C" w14:textId="77777777">
        <w:trPr>
          <w:trHeight w:val="650"/>
          <w:jc w:val="center"/>
        </w:trPr>
        <w:tc>
          <w:tcPr>
            <w:tcW w:w="2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0A8464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>Temperatura na zewnątrz</w:t>
            </w:r>
          </w:p>
        </w:tc>
        <w:tc>
          <w:tcPr>
            <w:tcW w:w="26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85E1EC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>Temperatura wewnątrz</w:t>
            </w:r>
          </w:p>
        </w:tc>
      </w:tr>
      <w:tr w:rsidR="004F6ECF" w14:paraId="5DF058C6" w14:textId="77777777">
        <w:trPr>
          <w:trHeight w:val="295"/>
          <w:jc w:val="center"/>
        </w:trPr>
        <w:tc>
          <w:tcPr>
            <w:tcW w:w="25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6826FB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 xml:space="preserve">22,1÷26°C 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AC16B7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>22±1°C</w:t>
            </w:r>
          </w:p>
        </w:tc>
      </w:tr>
      <w:tr w:rsidR="004F6ECF" w14:paraId="0D36288F" w14:textId="77777777">
        <w:trPr>
          <w:trHeight w:val="295"/>
          <w:jc w:val="center"/>
        </w:trPr>
        <w:tc>
          <w:tcPr>
            <w:tcW w:w="25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8A8C27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 xml:space="preserve">26,1÷29,9°C 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2FA769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>obniżona o 4±1°C</w:t>
            </w:r>
          </w:p>
        </w:tc>
      </w:tr>
      <w:tr w:rsidR="004F6ECF" w14:paraId="27873E7F" w14:textId="77777777">
        <w:trPr>
          <w:trHeight w:val="295"/>
          <w:jc w:val="center"/>
        </w:trPr>
        <w:tc>
          <w:tcPr>
            <w:tcW w:w="25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BEBF60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 xml:space="preserve">30÷34,9°C 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C0C661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>obniżona o 6±1°C</w:t>
            </w:r>
          </w:p>
        </w:tc>
      </w:tr>
      <w:tr w:rsidR="004F6ECF" w14:paraId="64B7BEB4" w14:textId="77777777">
        <w:trPr>
          <w:trHeight w:val="295"/>
          <w:jc w:val="center"/>
        </w:trPr>
        <w:tc>
          <w:tcPr>
            <w:tcW w:w="25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755E04" w14:textId="77777777" w:rsidR="004F6ECF" w:rsidRDefault="00AD362A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sdt>
              <w:sdtPr>
                <w:tag w:val="goog_rdk_0"/>
                <w:id w:val="954707609"/>
              </w:sdtPr>
              <w:sdtEndPr/>
              <w:sdtContent>
                <w:r w:rsidR="001C0C2B">
                  <w:rPr>
                    <w:rFonts w:ascii="Gungsuh" w:eastAsia="Gungsuh" w:hAnsi="Gungsuh" w:cs="Gungsuh"/>
                  </w:rPr>
                  <w:t xml:space="preserve">≥35°C </w:t>
                </w:r>
              </w:sdtContent>
            </w:sdt>
          </w:p>
        </w:tc>
        <w:tc>
          <w:tcPr>
            <w:tcW w:w="2613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A464B1" w14:textId="77777777" w:rsidR="004F6ECF" w:rsidRDefault="001C0C2B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  <w:r>
              <w:t>obniżona o 7±1°C</w:t>
            </w:r>
          </w:p>
        </w:tc>
      </w:tr>
      <w:tr w:rsidR="004F6ECF" w14:paraId="4D340D0B" w14:textId="77777777">
        <w:trPr>
          <w:trHeight w:val="295"/>
          <w:jc w:val="center"/>
        </w:trPr>
        <w:tc>
          <w:tcPr>
            <w:tcW w:w="25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1BE883" w14:textId="77777777" w:rsidR="004F6ECF" w:rsidRDefault="004F6ECF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</w:p>
        </w:tc>
        <w:tc>
          <w:tcPr>
            <w:tcW w:w="26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B3E3B9" w14:textId="77777777" w:rsidR="004F6ECF" w:rsidRDefault="004F6ECF">
            <w:pPr>
              <w:tabs>
                <w:tab w:val="left" w:pos="568"/>
              </w:tabs>
              <w:spacing w:line="276" w:lineRule="auto"/>
              <w:ind w:left="425" w:hanging="360"/>
              <w:jc w:val="both"/>
            </w:pPr>
          </w:p>
        </w:tc>
      </w:tr>
    </w:tbl>
    <w:p w14:paraId="60E53ADB" w14:textId="77777777" w:rsidR="004F6ECF" w:rsidRDefault="001C0C2B">
      <w:pPr>
        <w:numPr>
          <w:ilvl w:val="0"/>
          <w:numId w:val="1"/>
        </w:numPr>
        <w:jc w:val="both"/>
      </w:pPr>
      <w:r>
        <w:lastRenderedPageBreak/>
        <w:t>pojazdy są wyposażone w sprawny i wydajny system ogrzewania przestrzeni pasażerskiej: w pojeździe musi być co najmniej 12°C, a w przypadku temperatury otoczenia mniejszej lub równej -10°C w pojeździe musi panować temperatura dodatnia;</w:t>
      </w:r>
    </w:p>
    <w:p w14:paraId="550FD7EC" w14:textId="77777777" w:rsidR="004F6ECF" w:rsidRDefault="001C0C2B">
      <w:pPr>
        <w:numPr>
          <w:ilvl w:val="0"/>
          <w:numId w:val="1"/>
        </w:numPr>
        <w:jc w:val="both"/>
      </w:pPr>
      <w:r>
        <w:t>pojazdy są wyposażone w tablicę elektroniczną czołową pełnowymiarową (na całą szerokość szyby czołowej pojazdu, o ile to warunki techniczne pojazdu pozwolą), przystosowaną do: oznaczenia linii w postaci alfanumerycznej, oznaczenia nazwy przystanku końcowego w jednym bądź w dwóch wierszach, prezentowania dodatkowych elementów graficznych (piktogramów);</w:t>
      </w:r>
    </w:p>
    <w:p w14:paraId="5BDB55F2" w14:textId="77777777" w:rsidR="004F6ECF" w:rsidRDefault="001C0C2B">
      <w:pPr>
        <w:numPr>
          <w:ilvl w:val="0"/>
          <w:numId w:val="1"/>
        </w:numPr>
        <w:jc w:val="both"/>
      </w:pPr>
      <w:r>
        <w:t>pojazdy są wyposażone w tablicę elektroniczną tylną. Tablica elektroniczna przygotowana co najmniej do oznaczenia linii w postaci alfanumerycznej;</w:t>
      </w:r>
    </w:p>
    <w:p w14:paraId="087CFD42" w14:textId="77777777" w:rsidR="004F6ECF" w:rsidRDefault="001C0C2B">
      <w:pPr>
        <w:numPr>
          <w:ilvl w:val="0"/>
          <w:numId w:val="1"/>
        </w:numPr>
        <w:jc w:val="both"/>
      </w:pPr>
      <w:r>
        <w:t>pojazdy są wyposażone w tablicę elektroniczną boczną przystosowaną do: oznaczenia linii w postaci alfanumerycznej; oznaczenia nazwy przystanku końcowego w jednym bądź w dwóch wierszach;</w:t>
      </w:r>
    </w:p>
    <w:p w14:paraId="3E0C865F" w14:textId="77777777" w:rsidR="004F6ECF" w:rsidRDefault="001C0C2B">
      <w:pPr>
        <w:numPr>
          <w:ilvl w:val="0"/>
          <w:numId w:val="1"/>
        </w:numPr>
        <w:jc w:val="both"/>
      </w:pPr>
      <w:r>
        <w:t>pojazdy odpowiadają parametrom techniczno-eksploatacyjnym określonym w obowiązujących przepisach tj. w Rozporządzeniu Ministra Infrastruktury z dnia 31 grudnia 2002 r. w sprawie warunków technicznych pojazdów oraz zakresu ich niezbędnego wyposażenia;</w:t>
      </w:r>
    </w:p>
    <w:p w14:paraId="018BC99A" w14:textId="77777777" w:rsidR="004F6ECF" w:rsidRDefault="001C0C2B">
      <w:pPr>
        <w:numPr>
          <w:ilvl w:val="0"/>
          <w:numId w:val="1"/>
        </w:numPr>
        <w:jc w:val="both"/>
      </w:pPr>
      <w:r>
        <w:t>wnętrza autobusów są wyposażone w wystarczającą ilość uchwytów umożliwiających pasażerom utrzymanie równowagi w czasie jazdy. Wymaganie to należy uznać za spełnione, jeśli dla wszystkich możliwych umiejscowień pasażera, co najmniej dwie poręcze lub uchwyty znajdują się w zasięgu jego ręki. Zamontowane pętle paskowe mogą być liczone jako uchwyty, jeśli są odpowiednio utrzymywane w swym położeniu;</w:t>
      </w:r>
    </w:p>
    <w:p w14:paraId="6AC1B950" w14:textId="77777777" w:rsidR="004F6ECF" w:rsidRDefault="001C0C2B">
      <w:pPr>
        <w:numPr>
          <w:ilvl w:val="0"/>
          <w:numId w:val="1"/>
        </w:numPr>
        <w:jc w:val="both"/>
      </w:pPr>
      <w:r>
        <w:t>pojazdy są wyposażone w apteczkę pierwszej pomocy;</w:t>
      </w:r>
    </w:p>
    <w:p w14:paraId="24EF1DE3" w14:textId="77777777" w:rsidR="004F6ECF" w:rsidRDefault="001C0C2B">
      <w:pPr>
        <w:numPr>
          <w:ilvl w:val="0"/>
          <w:numId w:val="1"/>
        </w:numPr>
        <w:jc w:val="both"/>
      </w:pPr>
      <w:r>
        <w:t>pojazdy posiadają fotele o ergonomicznym kształcie, jednolitym kolorze i wzorze tapicerki. Tapicerka foteli nie może posiadać śladów uszkodzeń lub być trwale zabrudzona. Wszystkie fotele pasażerskie oprócz foteli składanych muszą mieć tapicerowane siedziska oraz tapicerowane oparcia;</w:t>
      </w:r>
    </w:p>
    <w:p w14:paraId="045A5B05" w14:textId="77777777" w:rsidR="004F6ECF" w:rsidRDefault="001C0C2B">
      <w:pPr>
        <w:numPr>
          <w:ilvl w:val="0"/>
          <w:numId w:val="1"/>
        </w:numPr>
        <w:jc w:val="both"/>
      </w:pPr>
      <w:r>
        <w:t>pojazdy są trwale oznakowane naklejkami zawierającymi numer taborowy w formacie ustalonym z Organizatorem - zewnątrz z każdej strony pojazdu i wewnątrz na przodzie pojazdu w miejscu dobrze widocznym z całego pojazdu;</w:t>
      </w:r>
    </w:p>
    <w:p w14:paraId="19628238" w14:textId="77777777" w:rsidR="004F6ECF" w:rsidRDefault="001C0C2B">
      <w:pPr>
        <w:numPr>
          <w:ilvl w:val="0"/>
          <w:numId w:val="1"/>
        </w:numPr>
        <w:jc w:val="both"/>
      </w:pPr>
      <w:r>
        <w:t>wszelkie oznaczenia w pojeździe widoczne dla pasażerów muszą być w języku polskim, napisy w językach obcych są dopuszczone tylko po ustaleniu z Organizatorem;</w:t>
      </w:r>
    </w:p>
    <w:p w14:paraId="732A690B" w14:textId="77777777" w:rsidR="004F6ECF" w:rsidRDefault="001C0C2B">
      <w:pPr>
        <w:numPr>
          <w:ilvl w:val="0"/>
          <w:numId w:val="1"/>
        </w:numPr>
        <w:jc w:val="both"/>
      </w:pPr>
      <w:r>
        <w:t>wszystkie drzwi przeznaczone do wsiadania i wysiadania pasażerów muszą być otwierane i zamykane automatycznie i sterowane z miejsca kierowcy, niedopuszczalne są pojazdy z pierwszymi drzwiami na prawym boku pojazdu otwieranymi i zamykanymi ręcznie;</w:t>
      </w:r>
    </w:p>
    <w:p w14:paraId="3D0CCEDF" w14:textId="77777777" w:rsidR="004F6ECF" w:rsidRDefault="001C0C2B">
      <w:pPr>
        <w:numPr>
          <w:ilvl w:val="0"/>
          <w:numId w:val="1"/>
        </w:numPr>
        <w:jc w:val="both"/>
      </w:pPr>
      <w:r>
        <w:t>pojazdy posiadają układ sterowania drzwiami eliminujący możliwość przypadkowego otwarcia drzwi podczas jazdy i uniemożliwiający jazdę przy otwartych drzwiach. Drzwi mają posiadać układ zabezpieczenia przed przyciśnięciem pasażera w czasie wsiadania lub wysiadania;</w:t>
      </w:r>
    </w:p>
    <w:p w14:paraId="2F690EDD" w14:textId="77777777" w:rsidR="004F6ECF" w:rsidRDefault="001C0C2B">
      <w:pPr>
        <w:numPr>
          <w:ilvl w:val="0"/>
          <w:numId w:val="1"/>
        </w:numPr>
        <w:jc w:val="both"/>
      </w:pPr>
      <w:r>
        <w:t>pojazdy posiadają układ sterowania drzwiami zapewniający sygnalizację kierowcy zamiaru wysiadania przez pasażera (funkcja przystanek na żądanie z sygnałem dźwiękowym oraz wizualnym dla pasażera oraz kierowcy), przyciski muszą być łatwo dostępne dla pasażera i muszą być proporcjonalnie ulokowane po pojeździe w liczbie co najmniej 6 sztuk w przypadku pojazdów MINI i 4 sztuki w przypadku pojazdów MINI;</w:t>
      </w:r>
    </w:p>
    <w:p w14:paraId="6C6C038F" w14:textId="77777777" w:rsidR="004F6ECF" w:rsidRDefault="001C0C2B">
      <w:pPr>
        <w:numPr>
          <w:ilvl w:val="0"/>
          <w:numId w:val="1"/>
        </w:numPr>
        <w:jc w:val="both"/>
      </w:pPr>
      <w:r>
        <w:t>pojazdy są trwale oznakowany z zewnątrz (np. naklejkami) logiem Organizatora – wzór oznakowania należy skonsultować z Organizatorem po podpisaniu Umowy oraz przy każdorazowej zmianie, zastąpieniu, wprowadzeniu nowego pojazdu;</w:t>
      </w:r>
    </w:p>
    <w:p w14:paraId="06D16589" w14:textId="77777777" w:rsidR="004F6ECF" w:rsidRDefault="001C0C2B">
      <w:pPr>
        <w:numPr>
          <w:ilvl w:val="0"/>
          <w:numId w:val="1"/>
        </w:numPr>
        <w:jc w:val="both"/>
      </w:pPr>
      <w:r>
        <w:t>pojazdy są jednobarwne, nie posiadają na poszyciu wzorów graficznych lub oznaczeń innych niż wymaganych przez Organizatora. Nie dopuszcza się umieszczania reklam i oklein na pojazdach bez zgody Organizatora;</w:t>
      </w:r>
    </w:p>
    <w:p w14:paraId="2A30F17E" w14:textId="77777777" w:rsidR="004F6ECF" w:rsidRDefault="001C0C2B">
      <w:pPr>
        <w:numPr>
          <w:ilvl w:val="0"/>
          <w:numId w:val="1"/>
        </w:numPr>
        <w:jc w:val="both"/>
      </w:pPr>
      <w:r>
        <w:t xml:space="preserve">po okresie przejściowym wszystkie pojazdy </w:t>
      </w:r>
      <w:r>
        <w:rPr>
          <w:b/>
        </w:rPr>
        <w:t>muszą mieć jednolity kolor nadwozia w jednym odcieniu koloru ciemno szarego/grafitowego w ramach całej floty</w:t>
      </w:r>
      <w:r>
        <w:t>;</w:t>
      </w:r>
    </w:p>
    <w:p w14:paraId="32AD3582" w14:textId="77777777" w:rsidR="004F6ECF" w:rsidRDefault="001C0C2B">
      <w:pPr>
        <w:numPr>
          <w:ilvl w:val="0"/>
          <w:numId w:val="1"/>
        </w:numPr>
        <w:jc w:val="both"/>
      </w:pPr>
      <w:r>
        <w:t>pojazdy posiadają umiejscowioną na ściance oddzielającej przedział kierowcy od przestrzeni pasażerskiej ramkę A2 umożliwiającą ekspozycję informacji Organizatora. Sposób umieszczenia ramki ma zapewnić dobrą widoczność z przestrzeni pasażerskiej;</w:t>
      </w:r>
    </w:p>
    <w:p w14:paraId="39EA81B0" w14:textId="77777777" w:rsidR="004F6ECF" w:rsidRDefault="001C0C2B">
      <w:pPr>
        <w:numPr>
          <w:ilvl w:val="0"/>
          <w:numId w:val="1"/>
        </w:numPr>
        <w:jc w:val="both"/>
      </w:pPr>
      <w:r>
        <w:t>pojazdy posiadają w przestrzeni pasażerskiej dwie ramki formatu A4 umożliwiające ekspozycję informacji Organizatora. Sposób umieszczenia ramek ma zapewnić dobrą widoczność z przestrzeni pasażerskiej;</w:t>
      </w:r>
    </w:p>
    <w:p w14:paraId="747DFF05" w14:textId="77777777" w:rsidR="004F6ECF" w:rsidRDefault="001C0C2B">
      <w:pPr>
        <w:numPr>
          <w:ilvl w:val="0"/>
          <w:numId w:val="1"/>
        </w:numPr>
        <w:jc w:val="both"/>
      </w:pPr>
      <w:r>
        <w:lastRenderedPageBreak/>
        <w:t>pojazdy posiadają możliwość doprowadzenie zasilania 12 V/24 V DC, przymocowania urządzeń do istniejących poręczy w pojazdach oraz montażu dodatkowych poręczy lub innych elementów do elementów konstrukcyjnych pojazdu, do których przymocowane będą urządzenia;</w:t>
      </w:r>
    </w:p>
    <w:p w14:paraId="20AD6AF7" w14:textId="77777777" w:rsidR="004F6ECF" w:rsidRDefault="001C0C2B">
      <w:pPr>
        <w:numPr>
          <w:ilvl w:val="0"/>
          <w:numId w:val="1"/>
        </w:numPr>
        <w:jc w:val="both"/>
      </w:pPr>
      <w:r>
        <w:t>pojazdy mają zainstalowane w przestrzeni technicznej pojazdów (w sposób uniemożliwiający ingerencję osób nieuprawnionych – tj. poza dostępem pasażerów i kierowców) urządzenia lokalizacyjne przekazujące informację o pozycji każdego pojazdu oraz jego numerze bocznym na wskazany przez Organizatora serwer systemu dynamicznej informacji pasażerskiej;</w:t>
      </w:r>
    </w:p>
    <w:p w14:paraId="37ED3ADB" w14:textId="77777777" w:rsidR="004F6ECF" w:rsidRDefault="001C0C2B">
      <w:pPr>
        <w:numPr>
          <w:ilvl w:val="0"/>
          <w:numId w:val="1"/>
        </w:numPr>
        <w:jc w:val="both"/>
      </w:pPr>
      <w:r>
        <w:t>lokalizatory w pojazdach muszą spełniać następujące wymagania:</w:t>
      </w:r>
    </w:p>
    <w:p w14:paraId="22F7B515" w14:textId="77777777" w:rsidR="004F6ECF" w:rsidRDefault="001C0C2B">
      <w:pPr>
        <w:numPr>
          <w:ilvl w:val="1"/>
          <w:numId w:val="1"/>
        </w:numPr>
        <w:jc w:val="both"/>
      </w:pPr>
      <w:r>
        <w:t>lokalizatory będą włączały się automatycznie po uruchomieniu pojazdu,</w:t>
      </w:r>
    </w:p>
    <w:p w14:paraId="13EAB216" w14:textId="77777777" w:rsidR="004F6ECF" w:rsidRDefault="001C0C2B">
      <w:pPr>
        <w:numPr>
          <w:ilvl w:val="1"/>
          <w:numId w:val="1"/>
        </w:numPr>
        <w:jc w:val="both"/>
      </w:pPr>
      <w:r>
        <w:t>w przypadku braku/zaniku zasięgu GSM dane były buforowane i przesyłane na serwer bezpośrednio   po odzyskaniu połączenia,</w:t>
      </w:r>
    </w:p>
    <w:p w14:paraId="2DBEA619" w14:textId="77777777" w:rsidR="004F6ECF" w:rsidRDefault="001C0C2B">
      <w:pPr>
        <w:numPr>
          <w:ilvl w:val="1"/>
          <w:numId w:val="1"/>
        </w:numPr>
        <w:jc w:val="both"/>
      </w:pPr>
      <w:r>
        <w:t xml:space="preserve">karty SIM do lokalizatorów, umożliwiające </w:t>
      </w:r>
      <w:proofErr w:type="spellStart"/>
      <w:r>
        <w:t>przesył</w:t>
      </w:r>
      <w:proofErr w:type="spellEnd"/>
      <w:r>
        <w:t xml:space="preserve"> danych na serwer wskazany przez Organizatora, zapewni Operator,</w:t>
      </w:r>
    </w:p>
    <w:p w14:paraId="05F6D817" w14:textId="77777777" w:rsidR="004F6ECF" w:rsidRDefault="001C0C2B">
      <w:pPr>
        <w:numPr>
          <w:ilvl w:val="1"/>
          <w:numId w:val="1"/>
        </w:numPr>
        <w:jc w:val="both"/>
      </w:pPr>
      <w:r>
        <w:t>Organizator dopuszcza możliwość realizacji funkcji lokalizatora przez główny komputer pokładowy zainstalowany w autobusie,</w:t>
      </w:r>
    </w:p>
    <w:p w14:paraId="69CC9703" w14:textId="77777777" w:rsidR="004F6ECF" w:rsidRDefault="001C0C2B">
      <w:pPr>
        <w:numPr>
          <w:ilvl w:val="1"/>
          <w:numId w:val="1"/>
        </w:numPr>
        <w:jc w:val="both"/>
      </w:pPr>
      <w:r>
        <w:t>Organizator po podpisaniu umowy udostępni Wykonawcy specyfikację protokołu przekazywania danych do eksploatowanego systemu informacji pasażerskiej,</w:t>
      </w:r>
    </w:p>
    <w:p w14:paraId="68CA31D1" w14:textId="77777777" w:rsidR="004F6ECF" w:rsidRDefault="001C0C2B">
      <w:pPr>
        <w:numPr>
          <w:ilvl w:val="0"/>
          <w:numId w:val="1"/>
        </w:numPr>
        <w:jc w:val="both"/>
      </w:pPr>
      <w:r>
        <w:t>wykluczona jest realizacja przewozów pojazdami typu „SAM”;</w:t>
      </w:r>
    </w:p>
    <w:p w14:paraId="2FE61610" w14:textId="77777777" w:rsidR="004F6ECF" w:rsidRDefault="001C0C2B">
      <w:pPr>
        <w:numPr>
          <w:ilvl w:val="0"/>
          <w:numId w:val="1"/>
        </w:numPr>
        <w:jc w:val="both"/>
      </w:pPr>
      <w:r>
        <w:t>wymaga się, aby nie później niż 30 dni od daty podpisania umowy, wszystkie pojazdy zostały oznaczone logotypami oraz wzorem graficznym zgodnie z wytycznymi Organizatora;</w:t>
      </w:r>
    </w:p>
    <w:p w14:paraId="28E9364F" w14:textId="77777777" w:rsidR="001C0C2B" w:rsidRDefault="001C0C2B">
      <w:pPr>
        <w:numPr>
          <w:ilvl w:val="0"/>
          <w:numId w:val="1"/>
        </w:numPr>
        <w:jc w:val="both"/>
      </w:pPr>
      <w:r>
        <w:t>Wzór graficzny nie może zasłaniać żadnej z tablic informacyjnych pojazdu.</w:t>
      </w:r>
    </w:p>
    <w:p w14:paraId="15D54E04" w14:textId="77777777" w:rsidR="004F6ECF" w:rsidRDefault="001C0C2B">
      <w:pPr>
        <w:numPr>
          <w:ilvl w:val="0"/>
          <w:numId w:val="1"/>
        </w:numPr>
        <w:jc w:val="both"/>
      </w:pPr>
      <w:r>
        <w:t>wymaga się pojazdy spełniające następujące wymagania w zakresie Systemu Informacji Pasażerskiej (SIP):</w:t>
      </w:r>
    </w:p>
    <w:p w14:paraId="331EB6B6" w14:textId="77777777" w:rsidR="004F6ECF" w:rsidRDefault="001C0C2B">
      <w:pPr>
        <w:numPr>
          <w:ilvl w:val="1"/>
          <w:numId w:val="1"/>
        </w:numPr>
        <w:jc w:val="both"/>
      </w:pPr>
      <w:r>
        <w:t>przed zaprogramowaniem Systemu Informacji Pasażerskiej Operator uzgodni sposób prezentacji z Organizatorem oraz uwzględni jego wytyczne;</w:t>
      </w:r>
    </w:p>
    <w:p w14:paraId="3C5433FE" w14:textId="77777777" w:rsidR="004F6ECF" w:rsidRDefault="001C0C2B">
      <w:pPr>
        <w:numPr>
          <w:ilvl w:val="1"/>
          <w:numId w:val="1"/>
        </w:numPr>
        <w:jc w:val="both"/>
      </w:pPr>
      <w:r>
        <w:t>Organizator może w trakcie trwania Umowy przekazać dodatkowe wytyczne wykorzystujące niżej opisaną funkcjonalność, które Operator ma obowiązek uwzględnić;</w:t>
      </w:r>
    </w:p>
    <w:p w14:paraId="055B62E1" w14:textId="77777777" w:rsidR="004F6ECF" w:rsidRDefault="001C0C2B">
      <w:pPr>
        <w:numPr>
          <w:ilvl w:val="1"/>
          <w:numId w:val="1"/>
        </w:numPr>
        <w:jc w:val="both"/>
      </w:pPr>
      <w:r>
        <w:t>Wzór informacji prezentowanej na elektronicznej tablicy informacyjnej czołowej:</w:t>
      </w:r>
    </w:p>
    <w:p w14:paraId="1DED0FC8" w14:textId="77777777" w:rsidR="004F6ECF" w:rsidRDefault="001C0C2B">
      <w:pPr>
        <w:numPr>
          <w:ilvl w:val="2"/>
          <w:numId w:val="1"/>
        </w:numPr>
        <w:jc w:val="both"/>
      </w:pPr>
      <w:r>
        <w:t>Oznaczenie numeru linii;</w:t>
      </w:r>
    </w:p>
    <w:p w14:paraId="2A832E6B" w14:textId="77777777" w:rsidR="004F6ECF" w:rsidRDefault="001C0C2B">
      <w:pPr>
        <w:numPr>
          <w:ilvl w:val="2"/>
          <w:numId w:val="1"/>
        </w:numPr>
        <w:jc w:val="both"/>
      </w:pPr>
      <w:r>
        <w:t>Kierunek jazdy (możliwość wyświetlania w jednej lub dwóch wierszach, nie dopuszcza się tzw. tekstu pływającego).</w:t>
      </w:r>
    </w:p>
    <w:p w14:paraId="059892A5" w14:textId="77777777" w:rsidR="004F6ECF" w:rsidRDefault="004F6ECF">
      <w:pPr>
        <w:spacing w:line="276" w:lineRule="auto"/>
        <w:ind w:left="425" w:hanging="360"/>
        <w:jc w:val="both"/>
      </w:pPr>
    </w:p>
    <w:tbl>
      <w:tblPr>
        <w:tblStyle w:val="ac"/>
        <w:tblW w:w="7860" w:type="dxa"/>
        <w:tblInd w:w="639" w:type="dxa"/>
        <w:tblLayout w:type="fixed"/>
        <w:tblLook w:val="0400" w:firstRow="0" w:lastRow="0" w:firstColumn="0" w:lastColumn="0" w:noHBand="0" w:noVBand="1"/>
      </w:tblPr>
      <w:tblGrid>
        <w:gridCol w:w="2140"/>
        <w:gridCol w:w="5720"/>
      </w:tblGrid>
      <w:tr w:rsidR="004F6ECF" w14:paraId="045306BC" w14:textId="77777777">
        <w:trPr>
          <w:trHeight w:val="105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262626"/>
            <w:vAlign w:val="center"/>
          </w:tcPr>
          <w:p w14:paraId="493E7A44" w14:textId="77777777" w:rsidR="004F6ECF" w:rsidRDefault="001C0C2B">
            <w:pPr>
              <w:spacing w:line="276" w:lineRule="auto"/>
              <w:ind w:left="425" w:hanging="360"/>
              <w:jc w:val="both"/>
              <w:rPr>
                <w:rFonts w:ascii="Play" w:eastAsia="Play" w:hAnsi="Play" w:cs="Play"/>
                <w:b/>
                <w:color w:val="FFFF00"/>
                <w:sz w:val="100"/>
                <w:szCs w:val="100"/>
              </w:rPr>
            </w:pPr>
            <w:r>
              <w:rPr>
                <w:rFonts w:ascii="Play" w:eastAsia="Play" w:hAnsi="Play" w:cs="Play"/>
                <w:b/>
                <w:color w:val="FFFF00"/>
                <w:sz w:val="100"/>
                <w:szCs w:val="100"/>
              </w:rPr>
              <w:t>T4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262626"/>
            <w:vAlign w:val="center"/>
          </w:tcPr>
          <w:p w14:paraId="7CE550A0" w14:textId="77777777" w:rsidR="004F6ECF" w:rsidRDefault="001C0C2B">
            <w:pPr>
              <w:spacing w:line="276" w:lineRule="auto"/>
              <w:ind w:left="425" w:hanging="360"/>
              <w:jc w:val="both"/>
              <w:rPr>
                <w:rFonts w:ascii="Play" w:eastAsia="Play" w:hAnsi="Play" w:cs="Play"/>
                <w:color w:val="FFFF00"/>
                <w:sz w:val="80"/>
                <w:szCs w:val="80"/>
              </w:rPr>
            </w:pPr>
            <w:r>
              <w:rPr>
                <w:rFonts w:ascii="Play" w:eastAsia="Play" w:hAnsi="Play" w:cs="Play"/>
                <w:color w:val="FFFF00"/>
                <w:sz w:val="80"/>
                <w:szCs w:val="80"/>
              </w:rPr>
              <w:t>SUCHORABA</w:t>
            </w:r>
          </w:p>
        </w:tc>
      </w:tr>
    </w:tbl>
    <w:p w14:paraId="00361079" w14:textId="77777777" w:rsidR="004F6ECF" w:rsidRDefault="004F6ECF">
      <w:pPr>
        <w:spacing w:line="276" w:lineRule="auto"/>
        <w:ind w:left="425" w:hanging="360"/>
        <w:jc w:val="both"/>
      </w:pPr>
    </w:p>
    <w:p w14:paraId="3522B1F2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Wzór informacji prezentowanej na elektronicznej tablicy informacyjnej bocznej:</w:t>
      </w:r>
    </w:p>
    <w:p w14:paraId="0F116F67" w14:textId="77777777" w:rsidR="004F6ECF" w:rsidRDefault="001C0C2B">
      <w:pPr>
        <w:numPr>
          <w:ilvl w:val="2"/>
          <w:numId w:val="1"/>
        </w:numPr>
        <w:spacing w:line="276" w:lineRule="auto"/>
        <w:jc w:val="both"/>
      </w:pPr>
      <w:r>
        <w:t>Oznaczenie numeru linii;</w:t>
      </w:r>
    </w:p>
    <w:p w14:paraId="2AEB8628" w14:textId="77777777" w:rsidR="004F6ECF" w:rsidRDefault="001C0C2B">
      <w:pPr>
        <w:numPr>
          <w:ilvl w:val="2"/>
          <w:numId w:val="1"/>
        </w:numPr>
        <w:spacing w:line="276" w:lineRule="auto"/>
        <w:jc w:val="both"/>
      </w:pPr>
      <w:r>
        <w:t>Kierunek jazdy (możliwość wyświetlania w jednej lub dwóch wierszach, w zależności od długości nazwy przystanku końcowego, nie dopuszcza się tzw. tekstu pływającego).</w:t>
      </w:r>
    </w:p>
    <w:p w14:paraId="288667CD" w14:textId="77777777" w:rsidR="004F6ECF" w:rsidRDefault="004F6ECF">
      <w:pPr>
        <w:spacing w:line="276" w:lineRule="auto"/>
        <w:ind w:left="425" w:hanging="360"/>
        <w:jc w:val="both"/>
      </w:pPr>
    </w:p>
    <w:tbl>
      <w:tblPr>
        <w:tblStyle w:val="ad"/>
        <w:tblW w:w="7860" w:type="dxa"/>
        <w:tblInd w:w="639" w:type="dxa"/>
        <w:tblLayout w:type="fixed"/>
        <w:tblLook w:val="0400" w:firstRow="0" w:lastRow="0" w:firstColumn="0" w:lastColumn="0" w:noHBand="0" w:noVBand="1"/>
      </w:tblPr>
      <w:tblGrid>
        <w:gridCol w:w="2140"/>
        <w:gridCol w:w="5720"/>
      </w:tblGrid>
      <w:tr w:rsidR="004F6ECF" w14:paraId="2C7540BA" w14:textId="77777777">
        <w:trPr>
          <w:trHeight w:val="105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262626"/>
            <w:vAlign w:val="center"/>
          </w:tcPr>
          <w:p w14:paraId="4748F0F3" w14:textId="77777777" w:rsidR="004F6ECF" w:rsidRDefault="001C0C2B">
            <w:pPr>
              <w:spacing w:line="276" w:lineRule="auto"/>
              <w:ind w:left="425" w:hanging="360"/>
              <w:jc w:val="both"/>
              <w:rPr>
                <w:rFonts w:ascii="Play" w:eastAsia="Play" w:hAnsi="Play" w:cs="Play"/>
                <w:b/>
                <w:color w:val="FFFF00"/>
                <w:sz w:val="100"/>
                <w:szCs w:val="100"/>
              </w:rPr>
            </w:pPr>
            <w:r>
              <w:rPr>
                <w:rFonts w:ascii="Play" w:eastAsia="Play" w:hAnsi="Play" w:cs="Play"/>
                <w:b/>
                <w:color w:val="FFFF00"/>
                <w:sz w:val="100"/>
                <w:szCs w:val="100"/>
              </w:rPr>
              <w:lastRenderedPageBreak/>
              <w:t>T1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262626"/>
            <w:vAlign w:val="center"/>
          </w:tcPr>
          <w:p w14:paraId="54506D12" w14:textId="77777777" w:rsidR="004F6ECF" w:rsidRDefault="001C0C2B">
            <w:pPr>
              <w:spacing w:line="276" w:lineRule="auto"/>
              <w:ind w:left="425" w:hanging="360"/>
              <w:jc w:val="both"/>
              <w:rPr>
                <w:rFonts w:ascii="Play" w:eastAsia="Play" w:hAnsi="Play" w:cs="Play"/>
                <w:color w:val="FFFF00"/>
                <w:sz w:val="80"/>
                <w:szCs w:val="80"/>
              </w:rPr>
            </w:pPr>
            <w:r>
              <w:rPr>
                <w:rFonts w:ascii="Play" w:eastAsia="Play" w:hAnsi="Play" w:cs="Play"/>
                <w:color w:val="FFFF00"/>
                <w:sz w:val="80"/>
                <w:szCs w:val="80"/>
              </w:rPr>
              <w:t>NIEPOŁOMICE RYNEK</w:t>
            </w:r>
          </w:p>
        </w:tc>
      </w:tr>
    </w:tbl>
    <w:p w14:paraId="2940FCB5" w14:textId="77777777" w:rsidR="004F6ECF" w:rsidRDefault="004F6ECF">
      <w:pPr>
        <w:spacing w:line="276" w:lineRule="auto"/>
        <w:ind w:left="425" w:hanging="360"/>
        <w:jc w:val="both"/>
      </w:pPr>
    </w:p>
    <w:p w14:paraId="3D2B7D20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Wzór informacji prezentowanej na elektronicznej tablicy informacyjnej tylnej:</w:t>
      </w:r>
    </w:p>
    <w:p w14:paraId="486C1881" w14:textId="77777777" w:rsidR="004F6ECF" w:rsidRDefault="004F6ECF">
      <w:pPr>
        <w:spacing w:line="276" w:lineRule="auto"/>
        <w:ind w:left="425" w:hanging="360"/>
        <w:jc w:val="both"/>
      </w:pPr>
    </w:p>
    <w:tbl>
      <w:tblPr>
        <w:tblStyle w:val="ae"/>
        <w:tblW w:w="2140" w:type="dxa"/>
        <w:tblInd w:w="639" w:type="dxa"/>
        <w:tblLayout w:type="fixed"/>
        <w:tblLook w:val="0400" w:firstRow="0" w:lastRow="0" w:firstColumn="0" w:lastColumn="0" w:noHBand="0" w:noVBand="1"/>
      </w:tblPr>
      <w:tblGrid>
        <w:gridCol w:w="2140"/>
      </w:tblGrid>
      <w:tr w:rsidR="004F6ECF" w14:paraId="4FFE30A8" w14:textId="77777777">
        <w:trPr>
          <w:trHeight w:val="105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262626"/>
            <w:vAlign w:val="center"/>
          </w:tcPr>
          <w:p w14:paraId="75F4EB92" w14:textId="77777777" w:rsidR="004F6ECF" w:rsidRDefault="001C0C2B">
            <w:pPr>
              <w:spacing w:line="276" w:lineRule="auto"/>
              <w:ind w:left="425" w:hanging="360"/>
              <w:jc w:val="both"/>
              <w:rPr>
                <w:rFonts w:ascii="Play" w:eastAsia="Play" w:hAnsi="Play" w:cs="Play"/>
                <w:b/>
                <w:color w:val="FFFF00"/>
                <w:sz w:val="100"/>
                <w:szCs w:val="100"/>
              </w:rPr>
            </w:pPr>
            <w:r>
              <w:rPr>
                <w:rFonts w:ascii="Play" w:eastAsia="Play" w:hAnsi="Play" w:cs="Play"/>
                <w:b/>
                <w:color w:val="FFFF00"/>
                <w:sz w:val="100"/>
                <w:szCs w:val="100"/>
              </w:rPr>
              <w:t>T1</w:t>
            </w:r>
          </w:p>
        </w:tc>
      </w:tr>
    </w:tbl>
    <w:p w14:paraId="659D772B" w14:textId="77777777" w:rsidR="004F6ECF" w:rsidRDefault="004F6ECF">
      <w:pPr>
        <w:spacing w:line="276" w:lineRule="auto"/>
        <w:ind w:left="425" w:hanging="360"/>
        <w:jc w:val="both"/>
      </w:pPr>
    </w:p>
    <w:p w14:paraId="64F19A2A" w14:textId="77777777" w:rsidR="004F6ECF" w:rsidRDefault="001C0C2B">
      <w:pPr>
        <w:numPr>
          <w:ilvl w:val="0"/>
          <w:numId w:val="1"/>
        </w:numPr>
        <w:spacing w:line="276" w:lineRule="auto"/>
        <w:jc w:val="both"/>
      </w:pPr>
      <w:r>
        <w:t>po okresie przejściowym do Systemu Informacji Pasażerskiej należy też System Informacji Głosowej (SIG) oraz System Informacji Wizualnej (SIW). Działanie SIG oraz SIW powinno być skoordynowane między sobą i Operator musi mieć możliwość bieżącej aktualizacji w trybie on-line. SIW powinien prezentować wizualnie nazwę zapowiadanego przez SIW najbliższego przystanku. Zapowiedzi przystankowe mają występować jednokrotnie. Po wyjeździe ze strefy przystankowej następuje zapowiedź kolejnego przystanku. W zależności od danego punktu na trasie. Po wjeździe do strefy przystankowej zapowiedź głosowa nie występuje. Przypisanie wersji zapowiedzi do konkretnych przystanków (poza przystankiem początkowym oraz warunkowym) wybiera Zamawiający.</w:t>
      </w:r>
    </w:p>
    <w:p w14:paraId="23B42C87" w14:textId="77777777" w:rsidR="004F6ECF" w:rsidRDefault="001C0C2B">
      <w:pPr>
        <w:numPr>
          <w:ilvl w:val="0"/>
          <w:numId w:val="1"/>
        </w:numPr>
        <w:spacing w:line="276" w:lineRule="auto"/>
        <w:jc w:val="both"/>
      </w:pPr>
      <w:r>
        <w:t>nagrania zapowiedzi głosowych muszą zostać zrealizowane przez zawodowego lektora posiadającego doświadczenie w realizacji nagrań na potrzeby transportu publicznego, systemów informacyjnych, reklamowych, radiowych lub telewizyjnych lub przez syntezator mowy. Zapowiedzi powinny być:</w:t>
      </w:r>
    </w:p>
    <w:p w14:paraId="521D06C4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wyraźne, z odpowiednią dykcją,</w:t>
      </w:r>
    </w:p>
    <w:p w14:paraId="3E99713C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neutralne pod względem emocjonalnym,</w:t>
      </w:r>
    </w:p>
    <w:p w14:paraId="1F99D115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jednoznacznie zrozumiałe dla szerokiego grona odbiorców (m.in. osób starszych, niedosłyszących),</w:t>
      </w:r>
    </w:p>
    <w:p w14:paraId="6AF6D4A3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zgodne z zasadami poprawnej polszczyzny,</w:t>
      </w:r>
    </w:p>
    <w:p w14:paraId="1A487265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na etapie realizacji zamówienia Organizator zastrzega sobie prawo do akceptacji głosu lektora przed rozpoczęciem nagrań.</w:t>
      </w:r>
    </w:p>
    <w:p w14:paraId="685945DC" w14:textId="77777777" w:rsidR="004F6ECF" w:rsidRDefault="001C0C2B">
      <w:pPr>
        <w:numPr>
          <w:ilvl w:val="0"/>
          <w:numId w:val="1"/>
        </w:numPr>
        <w:spacing w:line="276" w:lineRule="auto"/>
        <w:jc w:val="both"/>
      </w:pPr>
      <w:r>
        <w:t>nagrania powinny spełniać poniższe wytyczne - sekwencja zapowiedzi głosowej:</w:t>
      </w:r>
    </w:p>
    <w:p w14:paraId="43D9F977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Standardowa sekwencja zapowiedzi: „następny przystanek” + „nazwa przystanku”,</w:t>
      </w:r>
    </w:p>
    <w:p w14:paraId="1C441D54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po odjeździe z pierwszego przystanku oraz zgodnie z decyzją Organizatora „komunikat powitalny” + standardowa sekwencja zapowiedzi,</w:t>
      </w:r>
    </w:p>
    <w:p w14:paraId="7C25E3D9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 xml:space="preserve">„Komunikat warunkowy” - zgodnie z decyzją i wytycznymi Organizatora, </w:t>
      </w:r>
    </w:p>
    <w:p w14:paraId="54A2EED9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gdy następny przystanek jest ostatnim na trasie przejazdu: Sekwencja standardowa zapowiedzi + „komunikat końcowy”  - zgodnie z decyzją i wytycznymi Organizatora.</w:t>
      </w:r>
    </w:p>
    <w:p w14:paraId="09B1CDC8" w14:textId="77777777" w:rsidR="004F6ECF" w:rsidRDefault="001C0C2B">
      <w:pPr>
        <w:numPr>
          <w:ilvl w:val="0"/>
          <w:numId w:val="1"/>
        </w:numPr>
        <w:spacing w:line="276" w:lineRule="auto"/>
        <w:jc w:val="both"/>
      </w:pPr>
      <w:r>
        <w:t>pojazdy muszą być wyposażone w system kamer rejestrujących obraz:</w:t>
      </w:r>
    </w:p>
    <w:p w14:paraId="0530280F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z przodu pojazdu (widok drogi),</w:t>
      </w:r>
    </w:p>
    <w:p w14:paraId="237D75FB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w przestrzeni pasażerskiej, z uwzględnieniem stanowiska pracy kierowcy,</w:t>
      </w:r>
    </w:p>
    <w:p w14:paraId="1F23F04F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przy czym rejestracja dotyczy wyłącznie obrazu, bez zapisu dźwięku.</w:t>
      </w:r>
    </w:p>
    <w:p w14:paraId="40C6BD2C" w14:textId="77777777" w:rsidR="004F6ECF" w:rsidRDefault="001C0C2B">
      <w:pPr>
        <w:numPr>
          <w:ilvl w:val="0"/>
          <w:numId w:val="1"/>
        </w:numPr>
        <w:spacing w:line="276" w:lineRule="auto"/>
        <w:jc w:val="both"/>
      </w:pPr>
      <w:r>
        <w:lastRenderedPageBreak/>
        <w:t>system monitoringu musi zapewniać:</w:t>
      </w:r>
    </w:p>
    <w:p w14:paraId="23541CD9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zapis nagrań w sposób ciągły,</w:t>
      </w:r>
    </w:p>
    <w:p w14:paraId="6CE37ED4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przechowywanie nagrań przez Operatora przez minimum 30 dni,</w:t>
      </w:r>
    </w:p>
    <w:p w14:paraId="6E858E96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możliwość udostępnienia za pomocą nośników elektronicznych na wniosek Organizatora lub uprawnionych służb fragmentu nagrania z wskazanego okresu, w przypadku uzasadnionej potrzeby - w terminie do 5 dni roboczych,</w:t>
      </w:r>
    </w:p>
    <w:p w14:paraId="14BC0F33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jakość obrazu umożliwiającą identyfikację zdarzeń także w warunkach ograniczonego oświetlenia oraz w nocy,</w:t>
      </w:r>
    </w:p>
    <w:p w14:paraId="0D9FD100" w14:textId="77777777" w:rsidR="004F6ECF" w:rsidRDefault="001C0C2B">
      <w:pPr>
        <w:numPr>
          <w:ilvl w:val="1"/>
          <w:numId w:val="1"/>
        </w:numPr>
        <w:spacing w:line="276" w:lineRule="auto"/>
        <w:jc w:val="both"/>
      </w:pPr>
      <w:r>
        <w:t>parametry techniczne wystarczające do zapewnienia czytelnego podglądu, bez wymogu jakości profesjonalnej.</w:t>
      </w:r>
    </w:p>
    <w:p w14:paraId="4721ACB0" w14:textId="77777777" w:rsidR="004F6ECF" w:rsidRDefault="004F6ECF">
      <w:pPr>
        <w:spacing w:line="276" w:lineRule="auto"/>
        <w:jc w:val="both"/>
      </w:pPr>
    </w:p>
    <w:p w14:paraId="71EAC4E9" w14:textId="76E5EF9E" w:rsidR="004F6ECF" w:rsidRDefault="001C0C2B">
      <w:pPr>
        <w:spacing w:line="276" w:lineRule="auto"/>
        <w:jc w:val="both"/>
        <w:rPr>
          <w:sz w:val="24"/>
          <w:szCs w:val="24"/>
        </w:rPr>
      </w:pPr>
      <w:r>
        <w:br/>
        <w:t xml:space="preserve">Poglądowa wizualizacja </w:t>
      </w:r>
      <w:r w:rsidR="00A41BCA">
        <w:t>logotypów organizatora</w:t>
      </w:r>
      <w:r>
        <w:t>:</w:t>
      </w:r>
    </w:p>
    <w:p w14:paraId="56910AD7" w14:textId="77777777" w:rsidR="004F6ECF" w:rsidRDefault="004F6ECF">
      <w:pPr>
        <w:spacing w:line="276" w:lineRule="auto"/>
        <w:ind w:left="425" w:hanging="360"/>
      </w:pPr>
    </w:p>
    <w:p w14:paraId="1559BF09" w14:textId="6E807873" w:rsidR="004F6ECF" w:rsidRDefault="00A41BCA">
      <w:pPr>
        <w:spacing w:line="276" w:lineRule="auto"/>
        <w:ind w:left="425" w:hanging="360"/>
        <w:rPr>
          <w:highlight w:val="yellow"/>
        </w:rPr>
      </w:pPr>
      <w:r>
        <w:rPr>
          <w:noProof/>
        </w:rPr>
        <w:drawing>
          <wp:inline distT="0" distB="0" distL="0" distR="0" wp14:anchorId="5199B482" wp14:editId="10AECC40">
            <wp:extent cx="5753735" cy="4199890"/>
            <wp:effectExtent l="0" t="0" r="0" b="0"/>
            <wp:docPr id="4903405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340517" name="Obraz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73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28972" w14:textId="77777777" w:rsidR="004F6ECF" w:rsidRDefault="004F6ECF">
      <w:pPr>
        <w:ind w:left="425" w:hanging="360"/>
      </w:pPr>
    </w:p>
    <w:p w14:paraId="0F5FB7B4" w14:textId="77777777" w:rsidR="004F6ECF" w:rsidRDefault="004F6ECF">
      <w:pPr>
        <w:ind w:left="425" w:hanging="360"/>
        <w:jc w:val="center"/>
      </w:pPr>
    </w:p>
    <w:sectPr w:rsidR="004F6ECF">
      <w:footerReference w:type="default" r:id="rId9"/>
      <w:pgSz w:w="11900" w:h="16838"/>
      <w:pgMar w:top="1440" w:right="1399" w:bottom="1440" w:left="1417" w:header="566" w:footer="56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FF9B2" w14:textId="77777777" w:rsidR="00AC564D" w:rsidRDefault="001C0C2B">
      <w:r>
        <w:separator/>
      </w:r>
    </w:p>
  </w:endnote>
  <w:endnote w:type="continuationSeparator" w:id="0">
    <w:p w14:paraId="439C4427" w14:textId="77777777" w:rsidR="00AC564D" w:rsidRDefault="001C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  <w:font w:name="Play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CBE8F" w14:textId="77777777" w:rsidR="004F6ECF" w:rsidRDefault="001C0C2B">
    <w:pPr>
      <w:tabs>
        <w:tab w:val="center" w:pos="4536"/>
        <w:tab w:val="right" w:pos="9072"/>
      </w:tabs>
      <w:spacing w:before="120"/>
      <w:ind w:left="566" w:hanging="360"/>
      <w:jc w:val="right"/>
    </w:pPr>
    <w:r>
      <w:rPr>
        <w:sz w:val="18"/>
        <w:szCs w:val="18"/>
      </w:rPr>
      <w:t xml:space="preserve">Strona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5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5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317E2" w14:textId="77777777" w:rsidR="00AC564D" w:rsidRDefault="001C0C2B">
      <w:r>
        <w:separator/>
      </w:r>
    </w:p>
  </w:footnote>
  <w:footnote w:type="continuationSeparator" w:id="0">
    <w:p w14:paraId="208351BE" w14:textId="77777777" w:rsidR="00AC564D" w:rsidRDefault="001C0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D21BE"/>
    <w:multiLevelType w:val="multilevel"/>
    <w:tmpl w:val="769CCE4E"/>
    <w:lvl w:ilvl="0">
      <w:start w:val="1"/>
      <w:numFmt w:val="decimal"/>
      <w:lvlText w:val="%1."/>
      <w:lvlJc w:val="left"/>
      <w:pPr>
        <w:ind w:left="28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3071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ECF"/>
    <w:rsid w:val="000B1F91"/>
    <w:rsid w:val="001C0C2B"/>
    <w:rsid w:val="002146DA"/>
    <w:rsid w:val="004F6ECF"/>
    <w:rsid w:val="00A41BCA"/>
    <w:rsid w:val="00AC564D"/>
    <w:rsid w:val="00AD362A"/>
    <w:rsid w:val="00C436D6"/>
    <w:rsid w:val="00EA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0D3D8"/>
  <w15:docId w15:val="{95E1AC6C-2779-4664-9A2D-5CA5A6C5D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widowControl w:val="0"/>
      <w:jc w:val="center"/>
    </w:pPr>
    <w:rPr>
      <w:b/>
      <w:sz w:val="64"/>
      <w:szCs w:val="64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rsid w:val="00EE649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uiPriority w:val="34"/>
    <w:qFormat/>
    <w:rsid w:val="00BF1BC2"/>
    <w:pPr>
      <w:ind w:left="708"/>
    </w:pPr>
  </w:style>
  <w:style w:type="character" w:customStyle="1" w:styleId="TytuZnak">
    <w:name w:val="Tytuł Znak"/>
    <w:uiPriority w:val="10"/>
    <w:rsid w:val="00601EB7"/>
    <w:rPr>
      <w:rFonts w:ascii="Calibri Light" w:eastAsia="Times New Roman" w:hAnsi="Calibri Light" w:cs="Times New Roman"/>
      <w:spacing w:val="-10"/>
      <w:kern w:val="28"/>
      <w:sz w:val="56"/>
      <w:szCs w:val="56"/>
      <w:lang w:val="pl-PL" w:eastAsia="en-US"/>
    </w:rPr>
  </w:style>
  <w:style w:type="paragraph" w:styleId="Poprawka">
    <w:name w:val="Revision"/>
    <w:hidden/>
    <w:uiPriority w:val="99"/>
    <w:semiHidden/>
    <w:rsid w:val="00DC6769"/>
  </w:style>
  <w:style w:type="character" w:styleId="Odwoaniedokomentarza">
    <w:name w:val="annotation reference"/>
    <w:basedOn w:val="Domylnaczcionkaakapitu"/>
    <w:uiPriority w:val="99"/>
    <w:semiHidden/>
    <w:unhideWhenUsed/>
    <w:rsid w:val="007B6114"/>
    <w:rPr>
      <w:sz w:val="16"/>
      <w:szCs w:val="16"/>
    </w:rPr>
  </w:style>
  <w:style w:type="paragraph" w:styleId="Tekstkomentarza">
    <w:name w:val="annotation text"/>
    <w:link w:val="TekstkomentarzaZnak"/>
    <w:uiPriority w:val="99"/>
    <w:unhideWhenUsed/>
    <w:rsid w:val="007B611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6114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61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6114"/>
    <w:rPr>
      <w:b/>
      <w:bCs/>
      <w:lang w:eastAsia="pl-PL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TyYuCafoAZ2sWD9Uq/tMk59NA==">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1688</Words>
  <Characters>10133</Characters>
  <Application>Microsoft Office Word</Application>
  <DocSecurity>4</DocSecurity>
  <Lines>84</Lines>
  <Paragraphs>23</Paragraphs>
  <ScaleCrop>false</ScaleCrop>
  <Company/>
  <LinksUpToDate>false</LinksUpToDate>
  <CharactersWithSpaces>11798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Krzysztof_Juszczak</dc:creator>
  <cp:lastModifiedBy>Anna Topór</cp:lastModifiedBy>
  <cp:revision>2</cp:revision>
  <cp:lastPrinted>2025-08-21T13:40:00Z</cp:lastPrinted>
  <dcterms:created xsi:type="dcterms:W3CDTF">2025-08-21T13:41:00Z</dcterms:created>
  <dcterms:modified xsi:type="dcterms:W3CDTF">2025-08-21T13:41:00Z</dcterms:modified>
</cp:coreProperties>
</file>