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22412" w14:textId="4CC22D59" w:rsidR="00C57D37" w:rsidRDefault="00C57D37" w:rsidP="00C57D37">
      <w:pPr>
        <w:tabs>
          <w:tab w:val="left" w:pos="400"/>
        </w:tabs>
        <w:spacing w:after="0" w:line="240" w:lineRule="auto"/>
        <w:jc w:val="right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Cs/>
          <w:color w:val="000000"/>
          <w:sz w:val="20"/>
          <w:szCs w:val="20"/>
        </w:rPr>
        <w:t>Załącznik nr 1 do SWZ</w:t>
      </w:r>
    </w:p>
    <w:p w14:paraId="09CCAA01" w14:textId="1832C0A1" w:rsidR="00C57D37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Cs/>
          <w:color w:val="000000"/>
          <w:sz w:val="20"/>
          <w:szCs w:val="20"/>
        </w:rPr>
        <w:t>Znak sprawy: ZP.271.25.2025</w:t>
      </w:r>
    </w:p>
    <w:p w14:paraId="2640DF1F" w14:textId="77777777" w:rsidR="00C57D37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14:paraId="53826309" w14:textId="77777777" w:rsidR="00C57D37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14:paraId="3EDD27D7" w14:textId="1E0F5AFB" w:rsidR="00C57D37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Cs/>
          <w:color w:val="000000"/>
          <w:sz w:val="20"/>
          <w:szCs w:val="20"/>
        </w:rPr>
        <w:t xml:space="preserve">Opis Przedmiotu Zamówienia </w:t>
      </w:r>
    </w:p>
    <w:p w14:paraId="0BBF6A3F" w14:textId="77777777" w:rsidR="00C57D37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14:paraId="5DCA7B48" w14:textId="77777777" w:rsidR="00C57D37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14:paraId="6F1571E8" w14:textId="5165198D" w:rsidR="00C57D37" w:rsidRPr="00C57D37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C57D37">
        <w:rPr>
          <w:rFonts w:ascii="Times New Roman" w:hAnsi="Times New Roman"/>
          <w:b/>
          <w:bCs/>
          <w:iCs/>
          <w:color w:val="000000"/>
          <w:sz w:val="20"/>
          <w:szCs w:val="20"/>
        </w:rPr>
        <w:t>Przedmiot zamówienia:</w:t>
      </w:r>
      <w:r w:rsidRPr="00C57D37">
        <w:rPr>
          <w:rFonts w:ascii="Times New Roman" w:hAnsi="Times New Roman"/>
        </w:rPr>
        <w:t xml:space="preserve"> </w:t>
      </w:r>
      <w:r w:rsidRPr="00C57D37">
        <w:rPr>
          <w:rFonts w:ascii="Times New Roman" w:hAnsi="Times New Roman"/>
          <w:iCs/>
          <w:color w:val="000000"/>
          <w:sz w:val="20"/>
          <w:szCs w:val="20"/>
        </w:rPr>
        <w:t xml:space="preserve">Inwestycja polega na </w:t>
      </w:r>
      <w:r w:rsidRPr="00C57D37">
        <w:rPr>
          <w:rFonts w:ascii="Times New Roman" w:hAnsi="Times New Roman"/>
          <w:bCs/>
          <w:iCs/>
          <w:color w:val="000000"/>
          <w:sz w:val="20"/>
          <w:szCs w:val="20"/>
        </w:rPr>
        <w:t>przebudowie, rozbudowie i doposażeniu placu zabaw przy Klubie Dziecięcym "Jacek", znajdującym się w Szkole Podstawowej im. Witolda Witosa w Woli Batorskiej 597 na dz. nr 26863, 2687; 673/27; 1890/11 gmina Niepołomice</w:t>
      </w:r>
    </w:p>
    <w:p w14:paraId="24BFBDA1" w14:textId="77777777" w:rsidR="00C57D37" w:rsidRPr="002126E8" w:rsidRDefault="00C57D37" w:rsidP="00C57D37">
      <w:pPr>
        <w:pStyle w:val="Akapitzlist"/>
        <w:tabs>
          <w:tab w:val="left" w:pos="400"/>
        </w:tabs>
        <w:spacing w:after="0" w:line="240" w:lineRule="auto"/>
        <w:ind w:left="0"/>
        <w:rPr>
          <w:rFonts w:ascii="Times New Roman" w:hAnsi="Times New Roman"/>
          <w:iCs/>
          <w:color w:val="000000"/>
          <w:sz w:val="20"/>
          <w:szCs w:val="20"/>
        </w:rPr>
      </w:pPr>
      <w:r w:rsidRPr="002126E8">
        <w:rPr>
          <w:rFonts w:ascii="Times New Roman" w:hAnsi="Times New Roman"/>
          <w:bCs/>
          <w:iCs/>
          <w:color w:val="000000"/>
          <w:sz w:val="20"/>
          <w:szCs w:val="20"/>
        </w:rPr>
        <w:t xml:space="preserve">Zadanie inwestycyjne dofinansowane jest ze środków 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 xml:space="preserve">Funduszu Pracy w ramach Resortowego Programu „Aktywne Place Zabaw”. Zakres zadania z wykorzystaniem  prawa opcji obejmuje możliwość zwiększenia zakresu robót podstawowych, jeśli pojawią się wolne środki w budżecie Gminy Niepołomice, które będzie można przeznaczyć na realizację zagospodarowania terenu – Etap 2. </w:t>
      </w:r>
    </w:p>
    <w:p w14:paraId="5EBEB5F3" w14:textId="77777777" w:rsidR="00C57D37" w:rsidRDefault="00C57D37" w:rsidP="00C57D37">
      <w:pPr>
        <w:tabs>
          <w:tab w:val="left" w:pos="400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/>
        </w:rPr>
      </w:pPr>
    </w:p>
    <w:p w14:paraId="55570138" w14:textId="77777777" w:rsidR="00C57D37" w:rsidRPr="00BA0085" w:rsidRDefault="00C57D37" w:rsidP="00C57D37">
      <w:pPr>
        <w:autoSpaceDE w:val="0"/>
        <w:spacing w:line="240" w:lineRule="exact"/>
        <w:jc w:val="both"/>
      </w:pPr>
      <w:r>
        <w:rPr>
          <w:rFonts w:ascii="Times New Roman" w:hAnsi="Times New Roman" w:cs="Times New Roman"/>
          <w:b/>
          <w:iCs/>
        </w:rPr>
        <w:t>Uwaga: Wykonawca zobowiązany jest wykonać inwentaryzację powykonawczą w ramach zaoferowanej ceny ofertowej oraz certyfikację placu zabaw.</w:t>
      </w:r>
    </w:p>
    <w:p w14:paraId="05D6A84D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2126E8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W ramach 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>inwestycji</w:t>
      </w:r>
      <w:r w:rsidRPr="002126E8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przewidziano</w:t>
      </w:r>
    </w:p>
    <w:p w14:paraId="1703351E" w14:textId="77777777" w:rsidR="00C57D37" w:rsidRPr="000E7222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0E7222">
        <w:rPr>
          <w:rFonts w:ascii="Times New Roman" w:eastAsia="Verdana" w:hAnsi="Times New Roman" w:cs="Times New Roman"/>
          <w:color w:val="000000"/>
          <w:sz w:val="20"/>
          <w:szCs w:val="20"/>
        </w:rPr>
        <w:t>- całość ogrodzenia placu zabaw wraz ze ścieżkami oraz zabezpieczenie instalacji podziemnej elektrycznej niskoprądowej,</w:t>
      </w:r>
    </w:p>
    <w:p w14:paraId="71197AA4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0E7222">
        <w:rPr>
          <w:rFonts w:ascii="Times New Roman" w:eastAsia="Verdana" w:hAnsi="Times New Roman" w:cs="Times New Roman"/>
          <w:color w:val="000000"/>
          <w:sz w:val="20"/>
          <w:szCs w:val="20"/>
        </w:rPr>
        <w:t>- strefę wypoczynku - w skład, której wchodzą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>:</w:t>
      </w:r>
    </w:p>
    <w:p w14:paraId="7982CF00" w14:textId="77777777" w:rsidR="00C57D37" w:rsidRPr="006B05D8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</w:pPr>
      <w:r w:rsidRPr="006B05D8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>Ławki parkowe – 4 szt.</w:t>
      </w:r>
    </w:p>
    <w:p w14:paraId="2A4C22B8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>Ławki z oparciem o wymiarach: dł. 150 cm, wys. całkowita 85 cm, gł. 60 cm. Ławki wykonane z drewna Robinii akacjowej o średnicy ok. 18 cm bez ostrych krawędzi, siedziska/oparcia wykonane z mocnego drewna Robinii akacjowej, bez ostrych krawędzi, odpornego na warunki atmosferyczne. Kotwienie na gruncie płaskim, na głębokości 80/70/60 cm.</w:t>
      </w:r>
      <w:r w:rsidRPr="000E7222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, </w:t>
      </w:r>
    </w:p>
    <w:p w14:paraId="45DCC017" w14:textId="77777777" w:rsidR="00C57D37" w:rsidRPr="006B05D8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</w:pPr>
      <w:r w:rsidRPr="006B05D8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>Kosze na śmieci – 2 szt.</w:t>
      </w:r>
    </w:p>
    <w:p w14:paraId="40C204A1" w14:textId="77777777" w:rsidR="00C57D37" w:rsidRPr="0093442F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>Kosze na śmieci typu: parkowy – wykończenie oraz kolorystyka analogicznie jak dla ławek. Konstrukcja wykonana z drewna Robinii akacjowej. Brak ostrych krawędzi oraz szczelin, które mogłyby umożliwić zakleszczenia: palców, głowy i innych części ciała. Kotwienie na gruncie płaskim, na głębokości 80/70/60 cm.</w:t>
      </w:r>
    </w:p>
    <w:p w14:paraId="6E3858E5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>Wymiary: wys. całkowita 76  cm, szer. kosza 30 cm, dł. kosza 37 cm, pojemność 36 l.</w:t>
      </w:r>
      <w:r w:rsidRPr="000E7222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, </w:t>
      </w:r>
    </w:p>
    <w:p w14:paraId="02B7432E" w14:textId="77777777" w:rsidR="00C57D37" w:rsidRPr="0093442F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 xml:space="preserve">Zadaszenie – żagiel – 2 szt. </w:t>
      </w:r>
    </w:p>
    <w:p w14:paraId="4B98E419" w14:textId="77777777" w:rsidR="00C57D37" w:rsidRPr="0093442F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>Zada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>s</w:t>
      </w: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zenie w postaci trójkątnego żagla wykonanego z tkaniny siatkowej z HDPE odpornej na warunki atmosferyczne, chroniącej przed szkodliwym promieniowaniem UV. Konstrukcja z Robinii - bardzo trwałego drewna akacjowego o średnicy ~ 18 cm bez ostrych krawędzi, odpornego na działanie warunków atmosferycznych. Kotwienie na gruncie płaskim, na głębokości 100 cm. </w:t>
      </w:r>
    </w:p>
    <w:p w14:paraId="43736941" w14:textId="77777777" w:rsidR="00C57D37" w:rsidRPr="0093442F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>Wymiary: dł. 475 cm, szer. 420 cm, wys. całkowita 240 cm.</w:t>
      </w:r>
    </w:p>
    <w:p w14:paraId="3D99A8BF" w14:textId="77777777" w:rsidR="00C57D37" w:rsidRPr="0093442F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 xml:space="preserve">Altana – 1 szt. </w:t>
      </w:r>
    </w:p>
    <w:p w14:paraId="4AEB81D3" w14:textId="77777777" w:rsidR="00C57D37" w:rsidRPr="0093442F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>Konstrukcja altany wykonana z drewna z Robinii akacjowej. Rozmiar po obrysie podstawy: 350x350 cm. Wysokość w szczycie ok. 320 cm. Wysokość ażuru 199 cm. Dach odeskowany metodą pióro-wpust, gr. kantówek: 38x89 mm, słupy nośne wys. 199 cm, gr. 90x90 mm. Poszycie dachowe – gont bitumiczny w kolorze antracytowym RAL7016. Okap ok. 20 cm. Podłoga z kostki br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>u</w:t>
      </w: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kowej w kolorze szarym. </w:t>
      </w:r>
    </w:p>
    <w:p w14:paraId="47E05EB5" w14:textId="77777777" w:rsidR="00C57D37" w:rsidRPr="006B05D8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</w:pPr>
      <w:r w:rsidRPr="006B05D8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 xml:space="preserve">Komplet ogrodowy – 1 szt. </w:t>
      </w:r>
    </w:p>
    <w:p w14:paraId="059E248B" w14:textId="77777777" w:rsidR="00C57D37" w:rsidRPr="0093442F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>Komplet 2 ławek bez oparcia ze stołem w całości wykonany z drewna Robinii akacjowej. Konstrukcja z Robinii - bardzo trwałego drewna akacjowego o średnicy ~ 18 cm bez ostrych krawędzi, odpornego na działanie warunków atmosferycznych. Siedziska/oparcia wykonane z mocnego drewna Robinii akacjowej, bez ostrych krawędzi, odpornego na warunki atmosferyczne. Brak ostrych krawędzi oraz szczelin, które mogłyby umożliwić zakleszczenia: palców, głowy i innych części ciała. Kotwienie na gruncie płaskim, na głębokości 80/70/60 cm.</w:t>
      </w:r>
    </w:p>
    <w:p w14:paraId="1EEC935C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Wymiary: dł. 150 cm, szer. 170 cm, wys. całkowita: 75 cm. </w:t>
      </w:r>
    </w:p>
    <w:p w14:paraId="74DDE000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- </w:t>
      </w:r>
      <w:r w:rsidRPr="00346222">
        <w:rPr>
          <w:rFonts w:ascii="Times New Roman" w:eastAsia="Verdana" w:hAnsi="Times New Roman" w:cs="Times New Roman"/>
          <w:color w:val="000000"/>
          <w:sz w:val="20"/>
          <w:szCs w:val="20"/>
        </w:rPr>
        <w:t>nasadzenia drzew i krzewów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>;</w:t>
      </w:r>
    </w:p>
    <w:p w14:paraId="7EE746F3" w14:textId="77777777" w:rsidR="00C57D37" w:rsidRPr="000E7222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>
        <w:rPr>
          <w:rFonts w:ascii="Times New Roman" w:eastAsia="Verdana" w:hAnsi="Times New Roman" w:cs="Times New Roman"/>
          <w:color w:val="000000"/>
          <w:sz w:val="20"/>
          <w:szCs w:val="20"/>
        </w:rPr>
        <w:t>-</w:t>
      </w:r>
      <w:r w:rsidRPr="000E7222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nawierzchnia naturalna – trawa, wraz z fragmentami maty przerostowej i elementów przejść wykonanych z naturalnych pni drewnianych</w:t>
      </w:r>
    </w:p>
    <w:p w14:paraId="0999C84C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</w:p>
    <w:p w14:paraId="6BA5D45D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0E7222">
        <w:rPr>
          <w:rFonts w:ascii="Times New Roman" w:eastAsia="Verdana" w:hAnsi="Times New Roman" w:cs="Times New Roman"/>
          <w:color w:val="000000"/>
          <w:sz w:val="20"/>
          <w:szCs w:val="20"/>
        </w:rPr>
        <w:t>- strefę zabawy cz. I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</w:t>
      </w:r>
      <w:r w:rsidRPr="000E7222">
        <w:rPr>
          <w:rFonts w:ascii="Times New Roman" w:eastAsia="Verdana" w:hAnsi="Times New Roman" w:cs="Times New Roman"/>
          <w:color w:val="000000"/>
          <w:sz w:val="20"/>
          <w:szCs w:val="20"/>
        </w:rPr>
        <w:t>z nawierzchnią bezpieczną w kolorze niebieskim RAL5019, w skład strefy wchodzą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>:</w:t>
      </w:r>
    </w:p>
    <w:p w14:paraId="53D0DBEF" w14:textId="77777777" w:rsidR="00C57D37" w:rsidRPr="0093442F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>Ścieżka sensoryczna – 1 szt.</w:t>
      </w:r>
    </w:p>
    <w:p w14:paraId="0E924C40" w14:textId="77777777" w:rsidR="00C57D37" w:rsidRPr="0093442F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>Ścieżka sensoryczna z barierką drewnianą, składająca się z 5 kwater każda o pow. 1 m</w:t>
      </w:r>
      <w:r w:rsidRPr="0093442F">
        <w:rPr>
          <w:rFonts w:ascii="Times New Roman" w:eastAsia="Verdana" w:hAnsi="Times New Roman" w:cs="Times New Roman"/>
          <w:color w:val="000000"/>
          <w:sz w:val="20"/>
          <w:szCs w:val="20"/>
          <w:vertAlign w:val="superscript"/>
        </w:rPr>
        <w:t>2</w:t>
      </w:r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z różnymi materiałami. Kwatery wypełnione są: korą, piaskiem, otoczkami, żwirem oraz zrębkami kolorowymi. Obramowanie kwater wykonane zostało z obrzeża elastycznego typu </w:t>
      </w:r>
      <w:proofErr w:type="spellStart"/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>ekoboard</w:t>
      </w:r>
      <w:proofErr w:type="spellEnd"/>
      <w:r w:rsidRPr="0093442F">
        <w:rPr>
          <w:rFonts w:ascii="Times New Roman" w:eastAsia="Verdana" w:hAnsi="Times New Roman" w:cs="Times New Roman"/>
          <w:color w:val="000000"/>
          <w:sz w:val="20"/>
          <w:szCs w:val="20"/>
        </w:rPr>
        <w:t>. Na spodzie wyłożona agrotkanina zapobiegająca przerastaniu chwastów.</w:t>
      </w:r>
    </w:p>
    <w:p w14:paraId="1D83E05C" w14:textId="77777777" w:rsidR="00C57D37" w:rsidRPr="007E024B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7E024B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lastRenderedPageBreak/>
        <w:t>Duża piaskownica z domkiem do zabawy piaskiem i samochodem – 1 szt.</w:t>
      </w:r>
    </w:p>
    <w:p w14:paraId="6742EA3C" w14:textId="77777777" w:rsidR="00C57D37" w:rsidRPr="007E024B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7E024B">
        <w:rPr>
          <w:rFonts w:ascii="Times New Roman" w:eastAsia="Verdana" w:hAnsi="Times New Roman" w:cs="Times New Roman"/>
          <w:color w:val="000000"/>
          <w:sz w:val="20"/>
          <w:szCs w:val="20"/>
        </w:rPr>
        <w:t>Piaskownica o wymiarach: dł. 560 cm, szer. 560 cm, wys. całkowita 210 cm.</w:t>
      </w:r>
    </w:p>
    <w:p w14:paraId="0D20DE36" w14:textId="77777777" w:rsidR="00C57D37" w:rsidRPr="007E024B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7E024B">
        <w:rPr>
          <w:rFonts w:ascii="Times New Roman" w:eastAsia="Verdana" w:hAnsi="Times New Roman" w:cs="Times New Roman"/>
          <w:color w:val="000000"/>
          <w:sz w:val="20"/>
          <w:szCs w:val="20"/>
        </w:rPr>
        <w:t>Konstrukcja z Robinii - bardzo trwałego drewna akacjowego o średnicy ~ 18 cm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</w:t>
      </w:r>
      <w:r w:rsidRPr="007E024B">
        <w:rPr>
          <w:rFonts w:ascii="Times New Roman" w:eastAsia="Verdana" w:hAnsi="Times New Roman" w:cs="Times New Roman"/>
          <w:color w:val="000000"/>
          <w:sz w:val="20"/>
          <w:szCs w:val="20"/>
        </w:rPr>
        <w:t>bez ostrych krawędzi, odpornego na działanie warunków atmosferycznych.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</w:t>
      </w:r>
      <w:r w:rsidRPr="007E024B">
        <w:rPr>
          <w:rFonts w:ascii="Times New Roman" w:eastAsia="Verdana" w:hAnsi="Times New Roman" w:cs="Times New Roman"/>
          <w:color w:val="000000"/>
          <w:sz w:val="20"/>
          <w:szCs w:val="20"/>
        </w:rPr>
        <w:t>Podesty/platformy z Robinii - drewna akacjowego, bez ostrych krawędzi. Dachy wykonane z mocnego drewna Robinii akacjowej, bez ostrych krawędzi. Osłony wykonane z drewna Robinii akacjowej, bez ostrych krawędzi. Drzwiczki z bezpiecznej, atestowanej gumy z tekstylnym zbrojeniem. Elementy manipulacyjne wykonane z płyty HPL, odpornej na działanie warunków atmosferycznych. Panel samochodowy i kierownica wykonane z płyty HDPE, odpornej na działanie warunków atmosferycznych.</w:t>
      </w:r>
    </w:p>
    <w:p w14:paraId="40F96C00" w14:textId="77777777" w:rsidR="00C57D37" w:rsidRPr="007E024B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7E024B">
        <w:rPr>
          <w:rFonts w:ascii="Times New Roman" w:eastAsia="Verdana" w:hAnsi="Times New Roman" w:cs="Times New Roman"/>
          <w:color w:val="000000"/>
          <w:sz w:val="20"/>
          <w:szCs w:val="20"/>
        </w:rPr>
        <w:t>Liny stalowe w oplocie polipropylenowym, łączone trwałymi elementami z aluminium, stali nierdzewnej i/lub tworzywa sztucznego. Siedziska/oparcia wykonane z drewna Robinii akacjowej, bez ostrych krawędzi. Łańcuchy ze stali nierdzewnej, kalibrowane, uniemożliwiające zakleszczenie palców. Kotwienie na gruncie płaskim, na głębokości 80/70/60 cm.</w:t>
      </w:r>
    </w:p>
    <w:p w14:paraId="3BB1002F" w14:textId="77777777" w:rsidR="00C57D37" w:rsidRPr="001E475C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1E475C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>Pojedyncza huśtawka – 1 szt.</w:t>
      </w:r>
    </w:p>
    <w:p w14:paraId="1060F028" w14:textId="77777777" w:rsidR="00C57D37" w:rsidRPr="001E475C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1E475C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Pojedyncza huśtawka o wymiarach: dł. 215 cm, szer. 280 cm, wys. całkowita 240 cm. Huśtawka z siedziskiem typu koszyk.  Konstrukcja wykonana z Robinii - bardzo trwałego drewna akacjowego o średnicy ~ 18 cm bez ostrych krawędzi, odpornego na działanie warunków atmosferycznych. Brak ostrych krawędzi oraz szczelin, które mogłyby umożliwić zakleszczenia: palców, głowy i innych części ciała. Kotwienie na gruncie płaskim, na głębokości 80/70/60 cm. </w:t>
      </w:r>
    </w:p>
    <w:p w14:paraId="71E9E347" w14:textId="77777777" w:rsidR="00C57D37" w:rsidRPr="001E475C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1E475C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>Zjeżdżalnia z tunelem i mostkiem – 1 szt.</w:t>
      </w:r>
    </w:p>
    <w:p w14:paraId="34C11633" w14:textId="77777777" w:rsidR="00C57D37" w:rsidRPr="001E475C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1E475C">
        <w:rPr>
          <w:rFonts w:ascii="Times New Roman" w:eastAsia="Verdana" w:hAnsi="Times New Roman" w:cs="Times New Roman"/>
          <w:color w:val="000000"/>
          <w:sz w:val="20"/>
          <w:szCs w:val="20"/>
        </w:rPr>
        <w:t>Zjeżdżalnia o wymiarach: dł. 450 cm, szer. 360 cm, wys. całkowita 270 cm.</w:t>
      </w:r>
    </w:p>
    <w:p w14:paraId="6E7D82A8" w14:textId="77777777" w:rsidR="00C57D37" w:rsidRPr="001E475C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1E475C">
        <w:rPr>
          <w:rFonts w:ascii="Times New Roman" w:eastAsia="Verdana" w:hAnsi="Times New Roman" w:cs="Times New Roman"/>
          <w:color w:val="000000"/>
          <w:sz w:val="20"/>
          <w:szCs w:val="20"/>
        </w:rPr>
        <w:t>Konstrukcja z Robinii - bardzo trwałego drewna akacjowego o średnicy ~ 18 cm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</w:t>
      </w:r>
      <w:r w:rsidRPr="001E475C">
        <w:rPr>
          <w:rFonts w:ascii="Times New Roman" w:eastAsia="Verdana" w:hAnsi="Times New Roman" w:cs="Times New Roman"/>
          <w:color w:val="000000"/>
          <w:sz w:val="20"/>
          <w:szCs w:val="20"/>
        </w:rPr>
        <w:t>bez ostrych krawędzi, odpornego na działanie warunków atmosferycznych. Podesty/platformy z Robinii - drewna akacjowego, bez ostrych krawędzi. Transparentne osłony z poliwęglanu odporne na warunki atmosferyczne. Osłony wykonane z drewna Robinii akacjowej, bez ostrych krawędzi. Ślizgi wykonane ze stali nierdzewnej. Elementy kolorowe wykonane z płyty HPL, odpornej na działanie warunków atmosferycznych. Luneta wykonana ze stali nierdzewnej oraz płyty HDPE, odpornej na działanie warunków atmosferycznych. „Głuchy telefon” - konstrukcja - rura ze stali nierdzewnej, kwiatki z HPL; instalacja pod gruntem z tworzywa sztucznego.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</w:t>
      </w:r>
      <w:r w:rsidRPr="001E475C">
        <w:rPr>
          <w:rFonts w:ascii="Times New Roman" w:eastAsia="Verdana" w:hAnsi="Times New Roman" w:cs="Times New Roman"/>
          <w:color w:val="000000"/>
          <w:sz w:val="20"/>
          <w:szCs w:val="20"/>
        </w:rPr>
        <w:t>Tunel z rury dwuściennej wykonanej z polipropylenu. Łańcuchy ze stali nierdzewnej, kalibrowane, uniemożliwiające zakleszczenie palców. Poręcze ze stali nierdzewnej.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</w:t>
      </w:r>
      <w:r w:rsidRPr="001E475C">
        <w:rPr>
          <w:rFonts w:ascii="Times New Roman" w:eastAsia="Verdana" w:hAnsi="Times New Roman" w:cs="Times New Roman"/>
          <w:color w:val="000000"/>
          <w:sz w:val="20"/>
          <w:szCs w:val="20"/>
        </w:rPr>
        <w:t>Uchwyty z liny stalowej w oplocie polipropylenowym. Kotwienie na gruncie płaskim, na głębokości 70/60 cm.</w:t>
      </w:r>
    </w:p>
    <w:p w14:paraId="600A68F5" w14:textId="77777777" w:rsidR="00C57D37" w:rsidRPr="00D36B38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D36B38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>Zabawka autko – 3 szt.</w:t>
      </w:r>
    </w:p>
    <w:p w14:paraId="0A6957A6" w14:textId="77777777" w:rsidR="00C57D37" w:rsidRPr="00D36B38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D36B38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Autko o wymiarach: dł. 85 cm, szer. 25 cm, wys. całkowita 25 cm. </w:t>
      </w:r>
    </w:p>
    <w:p w14:paraId="06542A37" w14:textId="77777777" w:rsidR="00C57D37" w:rsidRPr="00D36B38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D36B38">
        <w:rPr>
          <w:rFonts w:ascii="Times New Roman" w:eastAsia="Verdana" w:hAnsi="Times New Roman" w:cs="Times New Roman"/>
          <w:color w:val="000000"/>
          <w:sz w:val="20"/>
          <w:szCs w:val="20"/>
        </w:rPr>
        <w:t>Konstrukcja z Robinii - bardzo trwałego drewna akacjowego o średnicy ~ 18 cm bez ostrych krawędzi, odpornego na działanie warunków atmosferycznych. Elementy wykonane z bezpiecznej, atestowanej gumy z tekstylnym zbrojeniem.</w:t>
      </w:r>
    </w:p>
    <w:p w14:paraId="65E42837" w14:textId="77777777" w:rsidR="00C57D37" w:rsidRPr="00D36B38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D36B38">
        <w:rPr>
          <w:rFonts w:ascii="Times New Roman" w:eastAsia="Verdana" w:hAnsi="Times New Roman" w:cs="Times New Roman"/>
          <w:color w:val="000000"/>
          <w:sz w:val="20"/>
          <w:szCs w:val="20"/>
        </w:rPr>
        <w:t>Kotwienie na gruncie płaskim, na głębokości 70/60 cm.</w:t>
      </w:r>
    </w:p>
    <w:p w14:paraId="7CE7B492" w14:textId="77777777" w:rsidR="00C57D37" w:rsidRPr="006B05D8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</w:pPr>
      <w:r w:rsidRPr="006B05D8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>Tablica kredowa – 1 szt.</w:t>
      </w:r>
    </w:p>
    <w:p w14:paraId="60074923" w14:textId="77777777" w:rsidR="00C57D37" w:rsidRPr="00D36B38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D36B38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Tablica o wymiarach: dł. 155 cm, szer. 25 cm, wys. całkowita 150 cm. </w:t>
      </w:r>
    </w:p>
    <w:p w14:paraId="128DA68C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D36B38">
        <w:rPr>
          <w:rFonts w:ascii="Times New Roman" w:eastAsia="Verdana" w:hAnsi="Times New Roman" w:cs="Times New Roman"/>
          <w:color w:val="000000"/>
          <w:sz w:val="20"/>
          <w:szCs w:val="20"/>
        </w:rPr>
        <w:t>Konstrukcja z Robinii - bardzo trwałego drewna akacjowego o średnicy ~ 18 cm bez ostrych krawędzi, odpornego na działanie warunków atmosferycznych. Tablice do rysowania wykonane z płyty HPL, odpornej na działanie warunków atmosferycznych, brak ostrych krawędzi oraz szczelin, które mogłyby umożliwić zakleszczenia: palców, głowy i innych części ciała. Kotwienie na gruncie płaskim, na głębokości 80/70/60 cm.</w:t>
      </w:r>
    </w:p>
    <w:p w14:paraId="5F3B12BD" w14:textId="77777777" w:rsidR="00C57D37" w:rsidRPr="00346222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i/>
          <w:color w:val="000000"/>
          <w:sz w:val="20"/>
          <w:szCs w:val="20"/>
          <w:u w:val="single"/>
        </w:rPr>
      </w:pPr>
      <w:r w:rsidRPr="00346222">
        <w:rPr>
          <w:rFonts w:ascii="Times New Roman" w:eastAsia="Verdana" w:hAnsi="Times New Roman" w:cs="Times New Roman"/>
          <w:i/>
          <w:color w:val="000000"/>
          <w:sz w:val="20"/>
          <w:szCs w:val="20"/>
          <w:u w:val="single"/>
        </w:rPr>
        <w:t>- zabawki ozdobne:</w:t>
      </w:r>
    </w:p>
    <w:p w14:paraId="784ABA3E" w14:textId="77777777" w:rsidR="00C57D37" w:rsidRPr="00346222" w:rsidRDefault="00C57D37" w:rsidP="00C57D37">
      <w:pPr>
        <w:numPr>
          <w:ilvl w:val="0"/>
          <w:numId w:val="1"/>
        </w:num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0E7222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</w:t>
      </w:r>
      <w:r w:rsidRPr="00346222">
        <w:rPr>
          <w:rFonts w:ascii="Times New Roman" w:eastAsia="Verdana" w:hAnsi="Times New Roman" w:cs="Times New Roman"/>
          <w:color w:val="000000"/>
          <w:sz w:val="20"/>
          <w:szCs w:val="20"/>
          <w:u w:val="single"/>
        </w:rPr>
        <w:t>Zabawka żyrafa – 1 szt.</w:t>
      </w:r>
    </w:p>
    <w:p w14:paraId="65D7D7B4" w14:textId="77777777" w:rsidR="00C57D37" w:rsidRPr="00346222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346222">
        <w:rPr>
          <w:rFonts w:ascii="Times New Roman" w:eastAsia="Verdana" w:hAnsi="Times New Roman" w:cs="Times New Roman"/>
          <w:color w:val="000000"/>
          <w:sz w:val="20"/>
          <w:szCs w:val="20"/>
        </w:rPr>
        <w:t>Żyrafa o wymiarach: dł. 190 cm, szer. 160 cm, wys. całkowita 215 cm.</w:t>
      </w:r>
    </w:p>
    <w:p w14:paraId="247B05E9" w14:textId="77777777" w:rsidR="00C57D37" w:rsidRPr="00346222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346222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Konstrukcja z Robinii - bardzo trwałego drewna akacjowego o średnicach ~ 14 i 18 cm bez ostrych krawędzi, odpornego na działanie </w:t>
      </w:r>
      <w:r w:rsidRPr="00943BB2">
        <w:rPr>
          <w:rFonts w:ascii="Times New Roman" w:eastAsia="Verdana" w:hAnsi="Times New Roman" w:cs="Times New Roman"/>
          <w:color w:val="000000"/>
          <w:sz w:val="20"/>
          <w:szCs w:val="20"/>
        </w:rPr>
        <w:t>warunków</w:t>
      </w:r>
      <w:r w:rsidRPr="00346222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atmosferycznych. Transparentne osłony z poliwęglanu z nadrukiem odpornym na warunki atmosferyczne.</w:t>
      </w:r>
    </w:p>
    <w:p w14:paraId="1E9E763E" w14:textId="77777777" w:rsidR="00C57D37" w:rsidRPr="00346222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346222">
        <w:rPr>
          <w:rFonts w:ascii="Times New Roman" w:eastAsia="Verdana" w:hAnsi="Times New Roman" w:cs="Times New Roman"/>
          <w:color w:val="000000"/>
          <w:sz w:val="20"/>
          <w:szCs w:val="20"/>
        </w:rPr>
        <w:t>Elementy wykonane z bezpiecznej, atestowanej gumy z tekstylnym zbrojeniem.</w:t>
      </w:r>
    </w:p>
    <w:p w14:paraId="402ADDA6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346222">
        <w:rPr>
          <w:rFonts w:ascii="Times New Roman" w:eastAsia="Verdana" w:hAnsi="Times New Roman" w:cs="Times New Roman"/>
          <w:color w:val="000000"/>
          <w:sz w:val="20"/>
          <w:szCs w:val="20"/>
        </w:rPr>
        <w:t>Liny stalowe w oplocie polipropylenowym, łączone trwałymi elementami z tworzywa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</w:t>
      </w:r>
      <w:r w:rsidRPr="00346222">
        <w:rPr>
          <w:rFonts w:ascii="Times New Roman" w:eastAsia="Verdana" w:hAnsi="Times New Roman" w:cs="Times New Roman"/>
          <w:color w:val="000000"/>
          <w:sz w:val="20"/>
          <w:szCs w:val="20"/>
        </w:rPr>
        <w:t>sztucznego, stali nierdzewnej lub aluminium. Łańcuchy ze stali nierdzewnej, kalibrowane, uniemożliwiające zakleszczenie palców. Kotwienie na gruncie płaskim, na głębokości 70/60 cm.</w:t>
      </w:r>
    </w:p>
    <w:p w14:paraId="4785FAD4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</w:p>
    <w:p w14:paraId="2F726C10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</w:p>
    <w:p w14:paraId="7F17DB6C" w14:textId="77777777" w:rsidR="00C57D37" w:rsidRPr="002126E8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</w:p>
    <w:p w14:paraId="5149B632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>
        <w:rPr>
          <w:rFonts w:ascii="Times New Roman" w:eastAsia="Verdana" w:hAnsi="Times New Roman" w:cs="Times New Roman"/>
          <w:color w:val="000000"/>
          <w:sz w:val="20"/>
          <w:szCs w:val="20"/>
        </w:rPr>
        <w:t>Prawo opcji obejmuje realizację etapu II:</w:t>
      </w:r>
    </w:p>
    <w:p w14:paraId="13DF6EAA" w14:textId="77777777" w:rsidR="00C57D37" w:rsidRPr="008B038B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8B038B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- </w:t>
      </w:r>
      <w:r w:rsidRPr="008B038B">
        <w:rPr>
          <w:rFonts w:ascii="Times New Roman" w:eastAsia="Verdana" w:hAnsi="Times New Roman" w:cs="Times New Roman"/>
          <w:i/>
          <w:color w:val="000000"/>
          <w:sz w:val="20"/>
          <w:szCs w:val="20"/>
        </w:rPr>
        <w:t>strefę zieloną</w:t>
      </w:r>
      <w:r w:rsidRPr="008B038B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- projektowana zieleń – drzewa i krzewy oraz nawierzchnia naturalna – trawa,</w:t>
      </w:r>
    </w:p>
    <w:p w14:paraId="7DA522B5" w14:textId="77777777" w:rsidR="00C57D37" w:rsidRPr="008B038B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8B038B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- </w:t>
      </w:r>
      <w:r w:rsidRPr="008B038B">
        <w:rPr>
          <w:rFonts w:ascii="Times New Roman" w:eastAsia="Verdana" w:hAnsi="Times New Roman" w:cs="Times New Roman"/>
          <w:i/>
          <w:color w:val="000000"/>
          <w:sz w:val="20"/>
          <w:szCs w:val="20"/>
        </w:rPr>
        <w:t>strefę zabawy cz. II -</w:t>
      </w:r>
      <w:r w:rsidRPr="008B038B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z nawierzchnią bezpieczną w kolorze niebieskim RAL5024, w skład strefy wchodzą zabawki typu: huśtawka pojedyncza „bocianie gniazdo”, kuchnia zabawkowa, zabawki muzyczne i edukacyjne, tablica z alfabetem, zegarem i liczydłem, statek piracki oraz zabawki aligatory – 2 szt. i zabawka lew.</w:t>
      </w:r>
    </w:p>
    <w:p w14:paraId="43316760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>
        <w:rPr>
          <w:rFonts w:ascii="Times New Roman" w:eastAsia="Verdana" w:hAnsi="Times New Roman" w:cs="Times New Roman"/>
          <w:color w:val="000000"/>
          <w:sz w:val="20"/>
          <w:szCs w:val="20"/>
        </w:rPr>
        <w:lastRenderedPageBreak/>
        <w:t>Zakres zadania z wykorzystaniem</w:t>
      </w:r>
      <w:r w:rsidRPr="00202913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prawa opcji obejmuje możliwość zwiększenia zakresu robót podstawowych, jeśli pojawią się wolne środki w budżecie Gminy Niepołomice, które będzie można przeznaczyć na 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>realizację etapu II</w:t>
      </w:r>
      <w:r w:rsidRPr="00202913">
        <w:rPr>
          <w:rFonts w:ascii="Times New Roman" w:eastAsia="Verdana" w:hAnsi="Times New Roman" w:cs="Times New Roman"/>
          <w:color w:val="000000"/>
          <w:sz w:val="20"/>
          <w:szCs w:val="20"/>
        </w:rPr>
        <w:t>.</w:t>
      </w:r>
    </w:p>
    <w:p w14:paraId="59579DD3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Załączona dokumentacja projektowa obejmuje w/w zakres. </w:t>
      </w:r>
    </w:p>
    <w:p w14:paraId="114E7A3A" w14:textId="77777777" w:rsidR="00C57D37" w:rsidRPr="004B4E2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4B4E27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Warunki opcji: </w:t>
      </w:r>
    </w:p>
    <w:p w14:paraId="0AB3BCFE" w14:textId="77777777" w:rsidR="00C57D37" w:rsidRPr="004B4E2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4B4E27">
        <w:rPr>
          <w:rFonts w:ascii="Times New Roman" w:eastAsia="Verdana" w:hAnsi="Times New Roman" w:cs="Times New Roman"/>
          <w:color w:val="000000"/>
          <w:sz w:val="20"/>
          <w:szCs w:val="20"/>
        </w:rPr>
        <w:t>1) Zamawiający może skorzystać z prawa opcji opisanego w dokumentach zamówienia. Zamówienie z prawa opcji odbywa się przez jednostronne złożenie przez Zamawiającego oświadc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>zenia woli o uruchomieniu opcji.</w:t>
      </w:r>
    </w:p>
    <w:p w14:paraId="2C661F69" w14:textId="77777777" w:rsidR="00C57D37" w:rsidRPr="004B4E2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4B4E27">
        <w:rPr>
          <w:rFonts w:ascii="Times New Roman" w:eastAsia="Verdana" w:hAnsi="Times New Roman" w:cs="Times New Roman"/>
          <w:color w:val="000000"/>
          <w:sz w:val="20"/>
          <w:szCs w:val="20"/>
        </w:rPr>
        <w:t>2) Zamawiający może skorzystać tylko z części zamówienia obejmującego prawo opcji w zależności od posiadanych środków.</w:t>
      </w:r>
    </w:p>
    <w:p w14:paraId="64CFCF64" w14:textId="77777777" w:rsidR="00C57D37" w:rsidRPr="004B4E2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4B4E27">
        <w:rPr>
          <w:rFonts w:ascii="Times New Roman" w:eastAsia="Verdana" w:hAnsi="Times New Roman" w:cs="Times New Roman"/>
          <w:color w:val="000000"/>
          <w:sz w:val="20"/>
          <w:szCs w:val="20"/>
        </w:rPr>
        <w:t>3) Zamówienie realizowane w ramach opcji jest jednostronnym uprawnieniem Zamawiającego, dlatego też nieskorzystanie przez Zamawiającego z prawa opcji nie stanowi podstawy dla Wykonawcy do dochodzenia jakichkolwiek roszczeń w stosunku do Zamawiającego.</w:t>
      </w:r>
    </w:p>
    <w:p w14:paraId="13541DC7" w14:textId="77777777" w:rsidR="00C57D37" w:rsidRPr="004B4E2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4B4E27">
        <w:rPr>
          <w:rFonts w:ascii="Times New Roman" w:eastAsia="Verdana" w:hAnsi="Times New Roman" w:cs="Times New Roman"/>
          <w:color w:val="000000"/>
          <w:sz w:val="20"/>
          <w:szCs w:val="20"/>
        </w:rPr>
        <w:t>4) Zamawiający poinformuje Wykonawcę czy i w jakim zakresie skorzysta z prawa opcji, w terminie realizacji umowy.</w:t>
      </w:r>
    </w:p>
    <w:p w14:paraId="1D0704BB" w14:textId="742D39B8" w:rsidR="00C57D37" w:rsidRPr="004B4E2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7B2C6C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5) </w:t>
      </w:r>
      <w:r w:rsidR="007B2C6C" w:rsidRPr="007B2C6C">
        <w:rPr>
          <w:rFonts w:ascii="Times New Roman" w:hAnsi="Times New Roman" w:cs="Times New Roman"/>
          <w:sz w:val="20"/>
          <w:szCs w:val="20"/>
        </w:rPr>
        <w:t>W przypadku skorzystania z prawa opcji w ostatnim miesiącu realizacji zamówienia podstawowego</w:t>
      </w:r>
      <w:r w:rsidRPr="007B2C6C">
        <w:rPr>
          <w:rFonts w:ascii="Times New Roman" w:eastAsia="Verdana" w:hAnsi="Times New Roman" w:cs="Times New Roman"/>
          <w:color w:val="000000"/>
          <w:sz w:val="20"/>
          <w:szCs w:val="20"/>
        </w:rPr>
        <w:t>,</w:t>
      </w:r>
      <w:r w:rsidRPr="004B4E27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Zamawiający ma prawo wydłużyć czas realizacji umowy o  czas niezbędny na wykonanie zamówienia objętego prawem opcji.</w:t>
      </w:r>
    </w:p>
    <w:p w14:paraId="314D3E92" w14:textId="77777777" w:rsidR="00C57D37" w:rsidRPr="004B4E2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4B4E27">
        <w:rPr>
          <w:rFonts w:ascii="Times New Roman" w:eastAsia="Verdana" w:hAnsi="Times New Roman" w:cs="Times New Roman"/>
          <w:color w:val="000000"/>
          <w:sz w:val="20"/>
          <w:szCs w:val="20"/>
        </w:rPr>
        <w:t>6) Zamawiający uruchomi opcję w przypadku posiadania środków na realizację zada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>nia</w:t>
      </w:r>
      <w:r w:rsidRPr="004B4E27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polegającego na zagospodarowaniu terenu – etap II </w:t>
      </w:r>
    </w:p>
    <w:p w14:paraId="7B662933" w14:textId="77777777" w:rsidR="00C57D37" w:rsidRPr="004B4E2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  <w:r w:rsidRPr="004B4E27">
        <w:rPr>
          <w:rFonts w:ascii="Times New Roman" w:eastAsia="Verdana" w:hAnsi="Times New Roman" w:cs="Times New Roman"/>
          <w:color w:val="000000"/>
          <w:sz w:val="20"/>
          <w:szCs w:val="20"/>
        </w:rPr>
        <w:t>7) Zasady dotyczące realizacji zamówienia objętego prawem opcji będą takie same jak te, które obowiązują przy realizacji zamówienia podstawowego</w:t>
      </w:r>
    </w:p>
    <w:p w14:paraId="19477248" w14:textId="77777777" w:rsidR="00C57D37" w:rsidRDefault="00C57D37" w:rsidP="00C57D37">
      <w:pPr>
        <w:spacing w:after="0" w:line="240" w:lineRule="auto"/>
        <w:ind w:right="8"/>
        <w:jc w:val="both"/>
        <w:rPr>
          <w:rFonts w:ascii="Times New Roman" w:eastAsia="Verdana" w:hAnsi="Times New Roman" w:cs="Times New Roman"/>
          <w:color w:val="000000"/>
          <w:sz w:val="20"/>
          <w:szCs w:val="20"/>
        </w:rPr>
      </w:pPr>
    </w:p>
    <w:p w14:paraId="64F7E53B" w14:textId="77777777" w:rsidR="00C57D37" w:rsidRPr="002126E8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iCs/>
          <w:color w:val="000000"/>
          <w:sz w:val="20"/>
          <w:szCs w:val="20"/>
        </w:rPr>
      </w:pPr>
      <w:r w:rsidRPr="002126E8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Miejsce wykonywania zamówienia</w:t>
      </w:r>
      <w:r w:rsidRPr="002126E8">
        <w:rPr>
          <w:rFonts w:ascii="Times New Roman" w:hAnsi="Times New Roman" w:cs="Times New Roman"/>
          <w:iCs/>
          <w:color w:val="000000"/>
          <w:sz w:val="20"/>
          <w:szCs w:val="20"/>
        </w:rPr>
        <w:t>:</w:t>
      </w:r>
      <w:r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</w:t>
      </w:r>
      <w:r w:rsidRPr="00CA4A7F">
        <w:rPr>
          <w:rFonts w:ascii="Times New Roman" w:hAnsi="Times New Roman" w:cs="Times New Roman"/>
          <w:iCs/>
          <w:color w:val="000000"/>
          <w:sz w:val="20"/>
          <w:szCs w:val="20"/>
        </w:rPr>
        <w:t>Wol</w:t>
      </w:r>
      <w:r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a </w:t>
      </w:r>
      <w:r w:rsidRPr="00CA4A7F">
        <w:rPr>
          <w:rFonts w:ascii="Times New Roman" w:hAnsi="Times New Roman" w:cs="Times New Roman"/>
          <w:iCs/>
          <w:color w:val="000000"/>
          <w:sz w:val="20"/>
          <w:szCs w:val="20"/>
        </w:rPr>
        <w:t>Batorsk</w:t>
      </w:r>
      <w:r>
        <w:rPr>
          <w:rFonts w:ascii="Times New Roman" w:hAnsi="Times New Roman" w:cs="Times New Roman"/>
          <w:iCs/>
          <w:color w:val="000000"/>
          <w:sz w:val="20"/>
          <w:szCs w:val="20"/>
        </w:rPr>
        <w:t>a</w:t>
      </w:r>
      <w:r w:rsidRPr="00CA4A7F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597</w:t>
      </w:r>
      <w:r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, </w:t>
      </w:r>
      <w:r w:rsidRPr="00CA4A7F">
        <w:rPr>
          <w:rFonts w:ascii="Times New Roman" w:hAnsi="Times New Roman" w:cs="Times New Roman"/>
          <w:iCs/>
          <w:color w:val="000000"/>
          <w:sz w:val="20"/>
          <w:szCs w:val="20"/>
        </w:rPr>
        <w:t>dz. nr 2686/3; 2687; 673/27; 1890/11</w:t>
      </w:r>
      <w:r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, </w:t>
      </w:r>
      <w:r w:rsidRPr="00CA4A7F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32 </w:t>
      </w:r>
      <w:r w:rsidRPr="00CA4A7F">
        <w:rPr>
          <w:rFonts w:ascii="Times New Roman" w:hAnsi="Times New Roman" w:cs="Times New Roman" w:hint="eastAsia"/>
          <w:iCs/>
          <w:color w:val="000000"/>
          <w:sz w:val="20"/>
          <w:szCs w:val="20"/>
        </w:rPr>
        <w:t>–</w:t>
      </w:r>
      <w:r w:rsidRPr="00CA4A7F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007 Zabierz</w:t>
      </w:r>
      <w:r w:rsidRPr="00CA4A7F">
        <w:rPr>
          <w:rFonts w:ascii="Times New Roman" w:hAnsi="Times New Roman" w:cs="Times New Roman" w:hint="eastAsia"/>
          <w:iCs/>
          <w:color w:val="000000"/>
          <w:sz w:val="20"/>
          <w:szCs w:val="20"/>
        </w:rPr>
        <w:t>ó</w:t>
      </w:r>
      <w:r w:rsidRPr="00CA4A7F">
        <w:rPr>
          <w:rFonts w:ascii="Times New Roman" w:hAnsi="Times New Roman" w:cs="Times New Roman"/>
          <w:iCs/>
          <w:color w:val="000000"/>
          <w:sz w:val="20"/>
          <w:szCs w:val="20"/>
        </w:rPr>
        <w:t>w Bo</w:t>
      </w:r>
      <w:r>
        <w:rPr>
          <w:rFonts w:ascii="Times New Roman" w:hAnsi="Times New Roman" w:cs="Times New Roman"/>
          <w:iCs/>
          <w:color w:val="000000"/>
          <w:sz w:val="20"/>
          <w:szCs w:val="20"/>
        </w:rPr>
        <w:t>cheński</w:t>
      </w:r>
      <w:r w:rsidRPr="00CA4A7F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, </w:t>
      </w:r>
      <w:r>
        <w:rPr>
          <w:rFonts w:ascii="Times New Roman" w:hAnsi="Times New Roman" w:cs="Times New Roman"/>
          <w:iCs/>
          <w:color w:val="000000"/>
          <w:sz w:val="20"/>
          <w:szCs w:val="20"/>
        </w:rPr>
        <w:t>gmina</w:t>
      </w:r>
      <w:r w:rsidRPr="00CA4A7F"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Niepołomice</w:t>
      </w:r>
    </w:p>
    <w:p w14:paraId="291E5781" w14:textId="77777777" w:rsidR="007E3E1B" w:rsidRDefault="007E3E1B"/>
    <w:sectPr w:rsidR="007E3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254E3"/>
    <w:multiLevelType w:val="hybridMultilevel"/>
    <w:tmpl w:val="EA1836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148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D37"/>
    <w:rsid w:val="001F7225"/>
    <w:rsid w:val="004112F7"/>
    <w:rsid w:val="007B2C6C"/>
    <w:rsid w:val="007E3E1B"/>
    <w:rsid w:val="009E3719"/>
    <w:rsid w:val="00C57D37"/>
    <w:rsid w:val="00D6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321F"/>
  <w15:chartTrackingRefBased/>
  <w15:docId w15:val="{84CE5BF0-81CA-49D8-A976-5C3CDBB2F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D37"/>
    <w:pPr>
      <w:suppressAutoHyphens/>
      <w:spacing w:after="200" w:line="276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7D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7D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7D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7D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7D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7D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7D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7D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7D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7D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7D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7D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7D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7D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7D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7D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7D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7D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7D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7D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7D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57D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7D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57D37"/>
    <w:rPr>
      <w:i/>
      <w:iCs/>
      <w:color w:val="404040" w:themeColor="text1" w:themeTint="BF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C57D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57D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7D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7D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7D37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C57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5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1458</Words>
  <Characters>8750</Characters>
  <Application>Microsoft Office Word</Application>
  <DocSecurity>0</DocSecurity>
  <Lines>72</Lines>
  <Paragraphs>20</Paragraphs>
  <ScaleCrop>false</ScaleCrop>
  <Company/>
  <LinksUpToDate>false</LinksUpToDate>
  <CharactersWithSpaces>10188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2025-07-30T05:33:00Z</cp:lastPrinted>
  <dcterms:created xsi:type="dcterms:W3CDTF">2025-07-30T05:33:00Z</dcterms:created>
  <dcterms:modified xsi:type="dcterms:W3CDTF">2025-07-30T05:33:00Z</dcterms:modified>
</cp:coreProperties>
</file>