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736F8" w14:textId="37BF2892" w:rsidR="00E93BB2" w:rsidRDefault="009B1912">
      <w:pPr>
        <w:spacing w:after="24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Kraków dnia: 2025-07-2</w:t>
      </w:r>
      <w:r w:rsidR="006B2AA1">
        <w:rPr>
          <w:rFonts w:ascii="Verdana" w:hAnsi="Verdana"/>
          <w:sz w:val="18"/>
          <w:szCs w:val="18"/>
        </w:rPr>
        <w:t>2</w:t>
      </w:r>
    </w:p>
    <w:p w14:paraId="1F44AC80" w14:textId="77777777" w:rsidR="00E93BB2" w:rsidRDefault="009B1912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89A6D43" w14:textId="77777777" w:rsidR="00E93BB2" w:rsidRDefault="009B1912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75E771C" w14:textId="77777777" w:rsidR="00E93BB2" w:rsidRDefault="009B1912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E0C49DD" w14:textId="77777777" w:rsidR="00E93BB2" w:rsidRDefault="009B1912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Al. Mickiewicza 30</w:t>
      </w:r>
    </w:p>
    <w:p w14:paraId="087A4ADA" w14:textId="77777777" w:rsidR="00E93BB2" w:rsidRDefault="009B1912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30-059 Kraków</w:t>
      </w:r>
    </w:p>
    <w:p w14:paraId="56963D13" w14:textId="77777777" w:rsidR="00E93BB2" w:rsidRDefault="009B1912">
      <w:pPr>
        <w:pStyle w:val="Nagwek"/>
        <w:tabs>
          <w:tab w:val="clear" w:pos="4536"/>
        </w:tabs>
      </w:pPr>
      <w:r>
        <w:rPr>
          <w:rFonts w:ascii="Verdana" w:hAnsi="Verdana"/>
          <w:sz w:val="18"/>
          <w:szCs w:val="18"/>
        </w:rPr>
        <w:t>Pismo: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 xml:space="preserve"> DE-dzp.272-369/25</w:t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5CB1DE5D" w14:textId="77777777" w:rsidR="00E93BB2" w:rsidRDefault="00E93BB2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AC752C" w14:textId="77777777" w:rsidR="00E93BB2" w:rsidRDefault="009B191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WYKONAWCY</w:t>
      </w:r>
    </w:p>
    <w:p w14:paraId="2917D53A" w14:textId="77777777" w:rsidR="00E93BB2" w:rsidRDefault="009B191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ubiegający się o zamówienie publiczne</w:t>
      </w:r>
    </w:p>
    <w:p w14:paraId="125BED69" w14:textId="77777777" w:rsidR="00E93BB2" w:rsidRDefault="00E93BB2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BAF98BA" w14:textId="77777777" w:rsidR="00E93BB2" w:rsidRDefault="009B1912">
      <w:pPr>
        <w:pStyle w:val="Nagwek1"/>
        <w:spacing w:after="480"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WYJAŚNIENIA TREŚCI SWZ i ZMIANA SWZ 1</w:t>
      </w:r>
    </w:p>
    <w:p w14:paraId="4A8311A1" w14:textId="77777777" w:rsidR="00E93BB2" w:rsidRDefault="009B1912">
      <w:pPr>
        <w:spacing w:after="360" w:line="276" w:lineRule="auto"/>
        <w:jc w:val="both"/>
      </w:pPr>
      <w:r>
        <w:rPr>
          <w:rFonts w:ascii="Verdana" w:hAnsi="Verdana"/>
          <w:sz w:val="18"/>
          <w:szCs w:val="18"/>
        </w:rPr>
        <w:t>Dotyczy: postępowania o udzielenie zamówienia publicznego, prowadzonego w trybie: przetarg nieograniczony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>pn.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>”</w:t>
      </w:r>
      <w:r>
        <w:rPr>
          <w:rFonts w:ascii="Verdana" w:hAnsi="Verdana"/>
          <w:b/>
          <w:bCs/>
          <w:sz w:val="18"/>
          <w:szCs w:val="18"/>
        </w:rPr>
        <w:t xml:space="preserve">Dostawa </w:t>
      </w:r>
      <w:proofErr w:type="spellStart"/>
      <w:r>
        <w:rPr>
          <w:rFonts w:ascii="Verdana" w:hAnsi="Verdana"/>
          <w:b/>
          <w:bCs/>
          <w:sz w:val="18"/>
          <w:szCs w:val="18"/>
        </w:rPr>
        <w:t>tribometra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 (</w:t>
      </w:r>
      <w:proofErr w:type="spellStart"/>
      <w:r>
        <w:rPr>
          <w:rFonts w:ascii="Verdana" w:hAnsi="Verdana"/>
          <w:b/>
          <w:bCs/>
          <w:sz w:val="18"/>
          <w:szCs w:val="18"/>
        </w:rPr>
        <w:t>tribotestera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) dla </w:t>
      </w:r>
      <w:proofErr w:type="spellStart"/>
      <w:r>
        <w:rPr>
          <w:rFonts w:ascii="Verdana" w:hAnsi="Verdana"/>
          <w:b/>
          <w:bCs/>
          <w:sz w:val="18"/>
          <w:szCs w:val="18"/>
        </w:rPr>
        <w:t>WIMiC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 DE-dzp.272-369/25</w:t>
      </w:r>
      <w:r>
        <w:rPr>
          <w:rFonts w:ascii="Verdana" w:hAnsi="Verdana"/>
          <w:bCs/>
          <w:sz w:val="18"/>
          <w:szCs w:val="18"/>
        </w:rPr>
        <w:t>”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>– znak sprawy</w:t>
      </w:r>
      <w:r>
        <w:rPr>
          <w:rFonts w:ascii="Verdana" w:hAnsi="Verdana"/>
          <w:b/>
          <w:sz w:val="18"/>
          <w:szCs w:val="18"/>
        </w:rPr>
        <w:t xml:space="preserve"> DE-dzp.272-369/25.</w:t>
      </w:r>
    </w:p>
    <w:p w14:paraId="21482349" w14:textId="77777777" w:rsidR="00E93BB2" w:rsidRDefault="009B1912">
      <w:pPr>
        <w:spacing w:after="240" w:line="276" w:lineRule="auto"/>
        <w:jc w:val="both"/>
      </w:pPr>
      <w:r>
        <w:rPr>
          <w:rFonts w:ascii="Verdana" w:hAnsi="Verdana"/>
          <w:sz w:val="18"/>
          <w:szCs w:val="18"/>
        </w:rPr>
        <w:t xml:space="preserve">Zamawiający, </w:t>
      </w:r>
      <w:r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>
        <w:rPr>
          <w:rFonts w:ascii="Verdana" w:hAnsi="Verdana"/>
          <w:sz w:val="18"/>
          <w:szCs w:val="18"/>
        </w:rPr>
        <w:t xml:space="preserve">działając na podstawie art. 135 ust. 6 ustawy z dnia 11 września 2019 r. Prawo zamówień publicznych (Dz.U.2024.1320 </w:t>
      </w:r>
      <w:proofErr w:type="spellStart"/>
      <w:r>
        <w:rPr>
          <w:rFonts w:ascii="Verdana" w:hAnsi="Verdana"/>
          <w:sz w:val="18"/>
          <w:szCs w:val="18"/>
        </w:rPr>
        <w:t>t.j</w:t>
      </w:r>
      <w:proofErr w:type="spellEnd"/>
      <w:r>
        <w:rPr>
          <w:rFonts w:ascii="Verdana" w:hAnsi="Verdana"/>
          <w:sz w:val="18"/>
          <w:szCs w:val="18"/>
        </w:rPr>
        <w:t>. ze zm.) udostępnia poniżej treść zapytań do Specyfikacji Warunków Zamówienia (</w:t>
      </w:r>
      <w:r>
        <w:rPr>
          <w:rFonts w:ascii="Verdana" w:hAnsi="Verdana"/>
          <w:sz w:val="18"/>
          <w:szCs w:val="18"/>
          <w:lang w:eastAsia="ar-SA"/>
        </w:rPr>
        <w:t>zwanej dalej</w:t>
      </w:r>
      <w:r>
        <w:rPr>
          <w:rFonts w:ascii="Verdana" w:hAnsi="Verdana"/>
          <w:b/>
          <w:sz w:val="18"/>
          <w:szCs w:val="18"/>
          <w:lang w:eastAsia="ar-SA"/>
        </w:rPr>
        <w:t xml:space="preserve"> </w:t>
      </w:r>
      <w:r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>
        <w:rPr>
          <w:rFonts w:ascii="Verdana" w:hAnsi="Verdana"/>
          <w:sz w:val="18"/>
          <w:szCs w:val="18"/>
        </w:rPr>
        <w:t>wraz z wyjaśnieniami</w:t>
      </w:r>
      <w:r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6"/>
      </w:tblGrid>
      <w:tr w:rsidR="00E93BB2" w14:paraId="398D74A9" w14:textId="77777777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E5A2B" w14:textId="77777777" w:rsidR="00E93BB2" w:rsidRDefault="009B191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75561BBA" w14:textId="77777777" w:rsidR="00E93BB2" w:rsidRDefault="009B1912">
            <w:pPr>
              <w:ind w:left="28" w:right="-74"/>
              <w:jc w:val="both"/>
            </w:pPr>
            <w:r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Pytanie nr 1.</w:t>
            </w:r>
            <w:r>
              <w:rPr>
                <w:rFonts w:ascii="Verdana" w:hAnsi="Verdana"/>
                <w:i/>
                <w:iCs/>
                <w:sz w:val="18"/>
                <w:szCs w:val="18"/>
                <w:u w:val="single"/>
              </w:rPr>
              <w:tab/>
            </w:r>
          </w:p>
          <w:p w14:paraId="0372B54C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Zamawiający w opisie przedmiotu zamówienia określa następujące parametry wymagane dla </w:t>
            </w:r>
            <w:proofErr w:type="spellStart"/>
            <w:r>
              <w:rPr>
                <w:rFonts w:ascii="Verdana" w:hAnsi="Verdana"/>
                <w:i/>
                <w:iCs/>
                <w:sz w:val="18"/>
                <w:szCs w:val="18"/>
              </w:rPr>
              <w:t>tribometru</w:t>
            </w:r>
            <w:proofErr w:type="spellEnd"/>
            <w:r>
              <w:rPr>
                <w:rFonts w:ascii="Verdana" w:hAnsi="Verdana"/>
                <w:i/>
                <w:iCs/>
                <w:sz w:val="18"/>
                <w:szCs w:val="18"/>
              </w:rPr>
              <w:t>:</w:t>
            </w:r>
          </w:p>
          <w:p w14:paraId="62A1C880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"- niewymagające okresowej kalibracji masy stałe obciążenie podczas pomiaru"</w:t>
            </w:r>
          </w:p>
          <w:p w14:paraId="7395B090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Czy w związku z tym zapisem Zamawiający godzi się na zastosowanie konstrukcji z zestawem stałych obciążników do regulacji siły normalnej docisku ramienia, co gwarantuje sztywne, stałe i niezmienne obciążenie podczas całego pomiaru bez kalibracji masy? </w:t>
            </w:r>
          </w:p>
          <w:p w14:paraId="50A36AE3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Czy jednak Zamawiający dopuszcza układ serwomotoru lub serwomechanizmu w osi pionowej Z, oraz kontroli sprzężenia zwrotnego do regulacji siły docisku (inaczej obciążenia normalnego w osi pionowej)?</w:t>
            </w:r>
          </w:p>
          <w:p w14:paraId="284879EE" w14:textId="77777777" w:rsidR="00E93BB2" w:rsidRDefault="00E93BB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</w:p>
          <w:p w14:paraId="7F7A75C6" w14:textId="77777777" w:rsidR="00E93BB2" w:rsidRDefault="009B191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Odp. Ad.1</w:t>
            </w:r>
          </w:p>
          <w:p w14:paraId="180536BA" w14:textId="77777777" w:rsidR="00E93BB2" w:rsidRDefault="009B1912">
            <w:pPr>
              <w:pStyle w:val="Akapitzlis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Zamawiający wyraża zgodę na zastosowanie konstrukcji z zestawem stałych obciążników do regulacji siły normalnej docisku ramienia.</w:t>
            </w:r>
          </w:p>
          <w:p w14:paraId="1B11328C" w14:textId="77777777" w:rsidR="00E93BB2" w:rsidRDefault="009B1912">
            <w:pPr>
              <w:pStyle w:val="Akapitzlis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Zamawiający nie dopuszcza układu serwomotoru lub serwomechanizmu w osi pionowej Z, oraz kontroli sprzężenia zwrotnego do regulacji siły docisku.</w:t>
            </w:r>
          </w:p>
          <w:p w14:paraId="7DCCE871" w14:textId="77777777" w:rsidR="00E93BB2" w:rsidRDefault="009B1912">
            <w:pPr>
              <w:ind w:left="28" w:right="-74"/>
              <w:jc w:val="both"/>
            </w:pPr>
            <w:r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Pytanie nr 2</w:t>
            </w:r>
            <w:r>
              <w:rPr>
                <w:rFonts w:ascii="Verdana" w:hAnsi="Verdana"/>
                <w:sz w:val="18"/>
                <w:szCs w:val="18"/>
                <w:u w:val="single"/>
              </w:rPr>
              <w:t>.</w:t>
            </w:r>
            <w:r>
              <w:rPr>
                <w:rFonts w:ascii="Verdana" w:hAnsi="Verdana"/>
                <w:i/>
                <w:iCs/>
                <w:sz w:val="18"/>
                <w:szCs w:val="18"/>
                <w:u w:val="single"/>
              </w:rPr>
              <w:tab/>
            </w:r>
          </w:p>
          <w:p w14:paraId="38FE311C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Zamawiający w opisie przedmiotu zamówienia wymaga, aby </w:t>
            </w:r>
            <w:proofErr w:type="spellStart"/>
            <w:r>
              <w:rPr>
                <w:rFonts w:ascii="Verdana" w:hAnsi="Verdana"/>
                <w:i/>
                <w:iCs/>
                <w:sz w:val="18"/>
                <w:szCs w:val="18"/>
              </w:rPr>
              <w:t>tribometr</w:t>
            </w:r>
            <w:proofErr w:type="spellEnd"/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 posiadał:</w:t>
            </w:r>
          </w:p>
          <w:p w14:paraId="0AAED4F8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"- sztywny układ pomiarowy z automatyczną kalibracją dryftu termicznego oparty na transformatorowych czujnikach przemieszczeń liniowych (LVDT)"</w:t>
            </w:r>
          </w:p>
          <w:p w14:paraId="702CE0BE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Czy na podstawie opisu przedmiotu zamówienia należy rozumieć, że Zamawiający wymaga systemu z kalibracją dryftu termicznego, który jednak może występować w procesie pomiarowym proponowanej konstrukcji?  </w:t>
            </w:r>
          </w:p>
          <w:p w14:paraId="04B6D123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Czy może Zamawiający wymaga rozwiązania konstrukcyjnego niwelującego taki dryft termiczny, na przykład 2 transformatorowe czujniki siły tarcia LVDT, które opisuje Zamawiający w specyfikacji i które powinny dzięki ustawieniu i swojej konstrukcji eliminować efekt dryftu, bez potrzeby kalibracji?</w:t>
            </w:r>
          </w:p>
          <w:p w14:paraId="7481E5C8" w14:textId="77777777" w:rsidR="00E93BB2" w:rsidRDefault="00E93BB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</w:p>
          <w:p w14:paraId="36592118" w14:textId="77777777" w:rsidR="00E93BB2" w:rsidRDefault="009B191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Odp. Ad.2</w:t>
            </w:r>
          </w:p>
          <w:p w14:paraId="14575DE1" w14:textId="77777777" w:rsidR="00E93BB2" w:rsidRDefault="009B1912">
            <w:pPr>
              <w:pStyle w:val="Akapitzlis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Zamawiający, przez powyższy zapis o kalibracji, rozumie automatyczną niwelację dryftu termicznego.</w:t>
            </w:r>
          </w:p>
          <w:p w14:paraId="76B93124" w14:textId="77777777" w:rsidR="00E93BB2" w:rsidRDefault="009B1912">
            <w:pPr>
              <w:pStyle w:val="Akapitzlis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Zamawiający wymaga rozwiązania konstrukcyjnego niwelującego dryft termiczny przy użyciu dwóch transformatorowych czujników LVDT.</w:t>
            </w:r>
          </w:p>
          <w:p w14:paraId="399F18F5" w14:textId="77777777" w:rsidR="00E93BB2" w:rsidRDefault="00E93BB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78D319E" w14:textId="77777777" w:rsidR="00E93BB2" w:rsidRDefault="009B1912">
            <w:pPr>
              <w:ind w:left="30" w:right="-72"/>
              <w:jc w:val="both"/>
            </w:pPr>
            <w:r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Pytanie nr 3</w:t>
            </w:r>
            <w:r>
              <w:rPr>
                <w:rFonts w:ascii="Verdana" w:hAnsi="Verdana"/>
                <w:sz w:val="18"/>
                <w:szCs w:val="18"/>
                <w:u w:val="single"/>
              </w:rPr>
              <w:t>.</w:t>
            </w:r>
            <w:r>
              <w:rPr>
                <w:rFonts w:ascii="Verdana" w:hAnsi="Verdana"/>
                <w:sz w:val="18"/>
                <w:szCs w:val="18"/>
                <w:u w:val="single"/>
              </w:rPr>
              <w:tab/>
            </w:r>
          </w:p>
          <w:p w14:paraId="6EB5403B" w14:textId="77777777" w:rsidR="00E93BB2" w:rsidRDefault="009B1912">
            <w:pPr>
              <w:ind w:left="30" w:right="-72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Zamawiający w odniesieniu do modułu temperaturowego w </w:t>
            </w:r>
            <w:proofErr w:type="spellStart"/>
            <w:r>
              <w:rPr>
                <w:rFonts w:ascii="Verdana" w:hAnsi="Verdana"/>
                <w:i/>
                <w:iCs/>
                <w:sz w:val="18"/>
                <w:szCs w:val="18"/>
              </w:rPr>
              <w:t>tribometrze</w:t>
            </w:r>
            <w:proofErr w:type="spellEnd"/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 zapisuje następujące wymaganie:</w:t>
            </w:r>
          </w:p>
          <w:p w14:paraId="3A6DFC5D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"- system grzewczo-chłodzący urządzenia powinien być zaprojektowany tak, aby minimalizować emisję ciepła do otoczenia, co pozwoli uniknąć wahań temperatury w pomieszczeniu laboratoryjnym, w którym znajdują się inne, wrażliwe urządzenia pomiarowe. Preferowany jest układ chłodzenia oparty na obiegu zamkniętym wody.</w:t>
            </w:r>
          </w:p>
          <w:p w14:paraId="2877490A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- stabilny system chłodzenia pozwalający na utrzymanie jednorodnego rozkładu temperatury w obszarze pomiaru oraz skracający czas chłodzenia układu pomiędzy pomiarami</w:t>
            </w:r>
          </w:p>
          <w:p w14:paraId="0339C287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- w przypadku chłodzenia, układ chłodzący wraz z wymiennikiem ciepła w zastawie urządzania</w:t>
            </w:r>
          </w:p>
          <w:p w14:paraId="59E869DE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- dokładność pomiaru temperatury do 0,1°C</w:t>
            </w:r>
          </w:p>
          <w:p w14:paraId="443245AA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- obszar grzania podczas pomiaru min. 25 mm</w:t>
            </w:r>
          </w:p>
          <w:p w14:paraId="57A75755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- górny zakres temperatury pomiaru min. 450°C "</w:t>
            </w:r>
          </w:p>
          <w:p w14:paraId="49CE4A25" w14:textId="77777777" w:rsidR="00E93BB2" w:rsidRDefault="009B1912">
            <w:pPr>
              <w:ind w:left="30" w:right="-72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Czy w związku z tym zapisem należy rozumieć, że Zamawiający wymaga systemu chłodzenia z wymiennikiem ciepła na bazie zamkniętego obiegu chłodzenia wodą co byłoby najbardziej efektywnym rozwiązaniem? Czy jednak zamawiający dopuszcza inny system chłodzenia np. za pomocą wentylatorów w stoliku grzewczym i wymuszonego dzięki nim obiegu powietrza?</w:t>
            </w:r>
          </w:p>
          <w:p w14:paraId="09FF475C" w14:textId="77777777" w:rsidR="00E93BB2" w:rsidRDefault="009B1912">
            <w:pPr>
              <w:ind w:left="30" w:right="-72"/>
              <w:jc w:val="both"/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Zamawiający układ oparty na obiegu zamkniętym wody oznaczył jako preferowany, ale nie wymagany</w:t>
            </w:r>
            <w:r>
              <w:rPr>
                <w:rFonts w:ascii="Verdana" w:hAnsi="Verdana"/>
                <w:sz w:val="18"/>
                <w:szCs w:val="18"/>
              </w:rPr>
              <w:t xml:space="preserve">.  </w:t>
            </w:r>
          </w:p>
          <w:p w14:paraId="216146B3" w14:textId="77777777" w:rsidR="00E93BB2" w:rsidRDefault="00E93BB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BE2164C" w14:textId="77777777" w:rsidR="00E93BB2" w:rsidRDefault="009B191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Odp. Ad.3</w:t>
            </w:r>
          </w:p>
          <w:p w14:paraId="1B7E3036" w14:textId="77777777" w:rsidR="00E93BB2" w:rsidRDefault="009B1912">
            <w:pPr>
              <w:pStyle w:val="Akapitzlis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Zamawiający w tej konstrukcji urządzenia, ze wspomnianą w pytaniu 2 niwelacją dryftu termicznego, wymaga systemu chłodzenia z wymiennikiem ciepła na bazie zamkniętego obiegu chłodzenia wodą i nie dopuszcza innego rozwiązania.</w:t>
            </w:r>
          </w:p>
          <w:p w14:paraId="530C4FD9" w14:textId="77777777" w:rsidR="00E93BB2" w:rsidRDefault="00E93BB2">
            <w:pPr>
              <w:pStyle w:val="Akapitzlist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A601592" w14:textId="77777777" w:rsidR="00E93BB2" w:rsidRDefault="009B1912">
            <w:pPr>
              <w:ind w:left="28" w:right="-74"/>
              <w:jc w:val="both"/>
            </w:pPr>
            <w:r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Pytanie nr 4.</w:t>
            </w:r>
            <w:r>
              <w:rPr>
                <w:rFonts w:ascii="Verdana" w:hAnsi="Verdana"/>
                <w:sz w:val="18"/>
                <w:szCs w:val="18"/>
                <w:u w:val="single"/>
              </w:rPr>
              <w:tab/>
            </w:r>
          </w:p>
          <w:p w14:paraId="73283E6E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Czy Zamawiający dopuszcza, aby w ramach wymaganych materiałów startowych do badań tribologicznych dostarczona została jedna próbka odniesienia wraz z medium referencyjnym (np. olejem), przeznaczona do przeprowadzenia testu w warunkach tzw. środowiska mokrego, realizowanego poprzez aplikację (nakropienie) oleju na powierzchnię próbki, bez jej pełnego zanurzenia?</w:t>
            </w:r>
          </w:p>
          <w:p w14:paraId="69EFEB3C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Pragniemy zaznaczyć, że test z użyciem próbki odniesienia i aplikacją medium smarującego (np. poprzez nakropienie oleju) stanowi integralny element procedury kwalifikacji operacyjnej </w:t>
            </w:r>
            <w:proofErr w:type="spellStart"/>
            <w:r>
              <w:rPr>
                <w:rFonts w:ascii="Verdana" w:hAnsi="Verdana"/>
                <w:i/>
                <w:iCs/>
                <w:sz w:val="18"/>
                <w:szCs w:val="18"/>
              </w:rPr>
              <w:t>tribometru</w:t>
            </w:r>
            <w:proofErr w:type="spellEnd"/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 i umożliwia skuteczną weryfikację kluczowych parametrów metrologicznych urządzenia, takich jak: stabilność i rozdzielczość siły tarcia oraz siły normalnej, powtarzalność wyników czy liniowość detekcji. W związku z tym uznajemy, że przeprowadzenie oddzielnego testu "na sucho" nie jest niezbędne do potwierdzenia prawidłowego działania </w:t>
            </w:r>
            <w:proofErr w:type="spellStart"/>
            <w:r>
              <w:rPr>
                <w:rFonts w:ascii="Verdana" w:hAnsi="Verdana"/>
                <w:i/>
                <w:iCs/>
                <w:sz w:val="18"/>
                <w:szCs w:val="18"/>
              </w:rPr>
              <w:t>tribometru</w:t>
            </w:r>
            <w:proofErr w:type="spellEnd"/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 ani do oceny jego zdolności pomiarowej.</w:t>
            </w:r>
          </w:p>
          <w:p w14:paraId="34203E94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Dodatkowo informujemy, że </w:t>
            </w:r>
            <w:proofErr w:type="spellStart"/>
            <w:r>
              <w:rPr>
                <w:rFonts w:ascii="Verdana" w:hAnsi="Verdana"/>
                <w:i/>
                <w:iCs/>
                <w:sz w:val="18"/>
                <w:szCs w:val="18"/>
              </w:rPr>
              <w:t>tribometr</w:t>
            </w:r>
            <w:proofErr w:type="spellEnd"/>
            <w:r>
              <w:rPr>
                <w:rFonts w:ascii="Verdana" w:hAnsi="Verdana"/>
                <w:i/>
                <w:iCs/>
                <w:sz w:val="18"/>
                <w:szCs w:val="18"/>
              </w:rPr>
              <w:t>, który chcemy zaoferować w postępowaniu spełnia międzynarodowe normy badawcze stosowane zarówno w warunkach tarcia suchego, jak i smarowanego, m.in.:</w:t>
            </w:r>
          </w:p>
          <w:p w14:paraId="540D8F2D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ASTM G99 - Standardowa metoda testu zużycia przy pomocy urządzenia typu pin-on-disc</w:t>
            </w:r>
          </w:p>
          <w:p w14:paraId="273AA244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ASTM G133 - Standardowa metoda testu zużycia w ruchu liniowo posuwisto-zwrotnym </w:t>
            </w:r>
            <w:proofErr w:type="spellStart"/>
            <w:r>
              <w:rPr>
                <w:rFonts w:ascii="Verdana" w:hAnsi="Verdana"/>
                <w:i/>
                <w:iCs/>
                <w:sz w:val="18"/>
                <w:szCs w:val="18"/>
              </w:rPr>
              <w:t>ball</w:t>
            </w:r>
            <w:proofErr w:type="spellEnd"/>
            <w:r>
              <w:rPr>
                <w:rFonts w:ascii="Verdana" w:hAnsi="Verdana"/>
                <w:i/>
                <w:iCs/>
                <w:sz w:val="18"/>
                <w:szCs w:val="18"/>
              </w:rPr>
              <w:t>-on-</w:t>
            </w:r>
            <w:proofErr w:type="spellStart"/>
            <w:r>
              <w:rPr>
                <w:rFonts w:ascii="Verdana" w:hAnsi="Verdana"/>
                <w:i/>
                <w:iCs/>
                <w:sz w:val="18"/>
                <w:szCs w:val="18"/>
              </w:rPr>
              <w:t>flat</w:t>
            </w:r>
            <w:proofErr w:type="spellEnd"/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 wytarcie przez ślizganie</w:t>
            </w:r>
          </w:p>
          <w:p w14:paraId="0F6FDA48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DIN 50324 - Tribologia: test tarcia i model zużycia dla tarcia ślizgowego materiałów stałych (</w:t>
            </w:r>
            <w:proofErr w:type="spellStart"/>
            <w:r>
              <w:rPr>
                <w:rFonts w:ascii="Verdana" w:hAnsi="Verdana"/>
                <w:i/>
                <w:iCs/>
                <w:sz w:val="18"/>
                <w:szCs w:val="18"/>
              </w:rPr>
              <w:t>ball</w:t>
            </w:r>
            <w:proofErr w:type="spellEnd"/>
            <w:r>
              <w:rPr>
                <w:rFonts w:ascii="Verdana" w:hAnsi="Verdana"/>
                <w:i/>
                <w:iCs/>
                <w:sz w:val="18"/>
                <w:szCs w:val="18"/>
              </w:rPr>
              <w:t>-on-disc system)</w:t>
            </w:r>
          </w:p>
          <w:p w14:paraId="5115ABE3" w14:textId="77777777" w:rsidR="00E93BB2" w:rsidRDefault="009B191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W związku z powyższym czy Zamawiający uzna przedstawioną metodologię testu z próbką odniesienia i medium smarującym za równoważną z wymaganiem wykonania osobnych testów w warunkach "suchych" i "mokrych" i zgodzi się na dostarczenie jednej próbki odniesienia, przeznaczona do przeprowadzenia testu w warunkach tzw. środowiska mokrego poprzez aplikację (nakropienie) oleju na powierzchnię próbki?</w:t>
            </w:r>
          </w:p>
          <w:p w14:paraId="476FF1FD" w14:textId="77777777" w:rsidR="00E93BB2" w:rsidRDefault="00E93BB2">
            <w:pPr>
              <w:ind w:left="28" w:right="-74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</w:p>
          <w:p w14:paraId="2CA35E8A" w14:textId="77777777" w:rsidR="00E93BB2" w:rsidRDefault="009B191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Odp. Ad.4 </w:t>
            </w:r>
          </w:p>
          <w:p w14:paraId="126E8FA1" w14:textId="77777777" w:rsidR="00E93BB2" w:rsidRDefault="009B1912">
            <w:pPr>
              <w:ind w:firstLine="708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Zamawiający  nie wyraża zgody na dostarczenie jednej próbki odniesienia oraz jednego testu na materiale referencyjnym.</w:t>
            </w:r>
          </w:p>
          <w:p w14:paraId="3688CF82" w14:textId="77777777" w:rsidR="00E93BB2" w:rsidRDefault="00E93BB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shd w:val="clear" w:color="auto" w:fill="808080"/>
              </w:rPr>
            </w:pPr>
          </w:p>
        </w:tc>
      </w:tr>
      <w:tr w:rsidR="00E93BB2" w14:paraId="240C076C" w14:textId="77777777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14759" w14:textId="77777777" w:rsidR="00E93BB2" w:rsidRDefault="00E93BB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BDACD8A" w14:textId="77777777" w:rsidR="00E93BB2" w:rsidRDefault="00E93BB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E93BB2" w14:paraId="25DA3046" w14:textId="77777777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56E02" w14:textId="77777777" w:rsidR="00E93BB2" w:rsidRDefault="00E93BB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3E7AB67C" w14:textId="77777777" w:rsidR="00E93BB2" w:rsidRDefault="00E93BB2">
      <w:pPr>
        <w:jc w:val="both"/>
        <w:rPr>
          <w:rFonts w:ascii="Verdana" w:hAnsi="Verdana"/>
          <w:sz w:val="18"/>
          <w:szCs w:val="18"/>
        </w:rPr>
      </w:pPr>
    </w:p>
    <w:sectPr w:rsidR="00E93BB2">
      <w:headerReference w:type="default" r:id="rId6"/>
      <w:footerReference w:type="default" r:id="rId7"/>
      <w:pgSz w:w="11906" w:h="16838"/>
      <w:pgMar w:top="709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96B62" w14:textId="77777777" w:rsidR="009B1912" w:rsidRDefault="009B1912">
      <w:r>
        <w:separator/>
      </w:r>
    </w:p>
  </w:endnote>
  <w:endnote w:type="continuationSeparator" w:id="0">
    <w:p w14:paraId="221B1BFA" w14:textId="77777777" w:rsidR="009B1912" w:rsidRDefault="009B1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90F40" w14:textId="77777777" w:rsidR="009B1912" w:rsidRDefault="009B191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A6C858" wp14:editId="6560B04F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1320533365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7C17E373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479AC0B9" w14:textId="77777777" w:rsidR="009B1912" w:rsidRDefault="009B1912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74B8B" w14:textId="77777777" w:rsidR="009B1912" w:rsidRDefault="009B1912">
      <w:r>
        <w:rPr>
          <w:color w:val="000000"/>
        </w:rPr>
        <w:separator/>
      </w:r>
    </w:p>
  </w:footnote>
  <w:footnote w:type="continuationSeparator" w:id="0">
    <w:p w14:paraId="3F214E60" w14:textId="77777777" w:rsidR="009B1912" w:rsidRDefault="009B1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BF3F6" w14:textId="77777777" w:rsidR="009B1912" w:rsidRDefault="009B19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BB2"/>
    <w:rsid w:val="002C3049"/>
    <w:rsid w:val="006B2AA1"/>
    <w:rsid w:val="009B1912"/>
    <w:rsid w:val="00B36925"/>
    <w:rsid w:val="00E93BB2"/>
    <w:rsid w:val="00FB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6B596"/>
  <w15:docId w15:val="{74ECC625-0699-461B-AA41-038985FB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pPr>
      <w:spacing w:after="160" w:line="276" w:lineRule="auto"/>
      <w:ind w:left="720"/>
    </w:pPr>
    <w:rPr>
      <w:rFonts w:ascii="Aptos" w:eastAsia="Aptos" w:hAnsi="Aptos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888</Words>
  <Characters>5330</Characters>
  <Application>Microsoft Office Word</Application>
  <DocSecurity>0</DocSecurity>
  <Lines>44</Lines>
  <Paragraphs>12</Paragraphs>
  <ScaleCrop>false</ScaleCrop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Lucyna Śliwa-Naporowska</cp:lastModifiedBy>
  <cp:revision>2</cp:revision>
  <cp:lastPrinted>2001-02-10T14:28:00Z</cp:lastPrinted>
  <dcterms:created xsi:type="dcterms:W3CDTF">2025-07-22T09:17:00Z</dcterms:created>
  <dcterms:modified xsi:type="dcterms:W3CDTF">2025-07-22T09:17:00Z</dcterms:modified>
</cp:coreProperties>
</file>