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C8572" w14:textId="20484616" w:rsidR="00F5342C" w:rsidRPr="00603547" w:rsidRDefault="00603547" w:rsidP="005C0BDB">
      <w:pPr>
        <w:pStyle w:val="Standard"/>
        <w:jc w:val="center"/>
        <w:rPr>
          <w:bCs/>
          <w:i/>
          <w:iCs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 w:rsidRPr="00603547">
        <w:rPr>
          <w:bCs/>
          <w:i/>
          <w:iCs/>
          <w:color w:val="000000"/>
          <w:sz w:val="20"/>
          <w:szCs w:val="20"/>
        </w:rPr>
        <w:t>Załącznik nr 1b do SWZ</w:t>
      </w:r>
    </w:p>
    <w:p w14:paraId="5A180CDA" w14:textId="77777777" w:rsidR="00F5342C" w:rsidRPr="005C0BDB" w:rsidRDefault="00F5342C" w:rsidP="005C0BDB">
      <w:pPr>
        <w:pStyle w:val="Standard"/>
        <w:jc w:val="center"/>
        <w:rPr>
          <w:b/>
          <w:color w:val="000000"/>
          <w:sz w:val="20"/>
          <w:szCs w:val="20"/>
        </w:rPr>
      </w:pPr>
    </w:p>
    <w:p w14:paraId="67B1E800" w14:textId="77777777" w:rsidR="00F5342C" w:rsidRPr="005C0BDB" w:rsidRDefault="003871FA" w:rsidP="005C0BDB">
      <w:pPr>
        <w:pStyle w:val="Standard"/>
        <w:jc w:val="center"/>
      </w:pPr>
      <w:r w:rsidRPr="005C0BDB">
        <w:rPr>
          <w:b/>
          <w:color w:val="000000"/>
          <w:sz w:val="20"/>
          <w:szCs w:val="20"/>
        </w:rPr>
        <w:t>ZESTAWIENIE WARUNKÓW I PARAMETRÓW WYMAGANYCH</w:t>
      </w:r>
    </w:p>
    <w:p w14:paraId="2F1E3BEA" w14:textId="77777777" w:rsidR="00F5342C" w:rsidRPr="005C0BDB" w:rsidRDefault="00F5342C" w:rsidP="005C0BDB">
      <w:pPr>
        <w:pStyle w:val="Standard"/>
        <w:jc w:val="center"/>
        <w:rPr>
          <w:b/>
          <w:color w:val="000000"/>
          <w:sz w:val="20"/>
          <w:szCs w:val="20"/>
        </w:rPr>
      </w:pPr>
    </w:p>
    <w:p w14:paraId="35ED59C6" w14:textId="77777777" w:rsidR="00F5342C" w:rsidRPr="005C0BDB" w:rsidRDefault="003871FA" w:rsidP="005C0BDB">
      <w:pPr>
        <w:pStyle w:val="Standard"/>
      </w:pPr>
      <w:r w:rsidRPr="005C0BDB">
        <w:rPr>
          <w:b/>
          <w:color w:val="000000"/>
          <w:sz w:val="20"/>
          <w:szCs w:val="20"/>
        </w:rPr>
        <w:t xml:space="preserve">GRUPA </w:t>
      </w:r>
      <w:r w:rsidRPr="005C0BDB">
        <w:rPr>
          <w:b/>
          <w:bCs/>
          <w:color w:val="000000"/>
          <w:sz w:val="20"/>
          <w:szCs w:val="20"/>
        </w:rPr>
        <w:t>2</w:t>
      </w:r>
    </w:p>
    <w:p w14:paraId="6D99CBA1" w14:textId="77777777" w:rsidR="00F5342C" w:rsidRPr="005C0BDB" w:rsidRDefault="003871FA" w:rsidP="005C0BDB">
      <w:pPr>
        <w:pStyle w:val="Default"/>
      </w:pPr>
      <w:r w:rsidRPr="005C0BDB">
        <w:rPr>
          <w:b/>
          <w:color w:val="auto"/>
          <w:sz w:val="20"/>
          <w:szCs w:val="20"/>
        </w:rPr>
        <w:t xml:space="preserve">Przedmiot zamówienia: </w:t>
      </w:r>
      <w:r w:rsidRPr="005C0BDB">
        <w:rPr>
          <w:color w:val="auto"/>
          <w:sz w:val="20"/>
          <w:szCs w:val="20"/>
        </w:rPr>
        <w:t>dzierżawa analizatora parametrów krytycznych (5 szt.)</w:t>
      </w:r>
    </w:p>
    <w:p w14:paraId="4025E35D" w14:textId="77777777" w:rsidR="00F5342C" w:rsidRPr="005C0BDB" w:rsidRDefault="00F5342C" w:rsidP="005C0BDB">
      <w:pPr>
        <w:pStyle w:val="Standard"/>
        <w:rPr>
          <w:b/>
          <w:color w:val="000000"/>
          <w:sz w:val="20"/>
          <w:szCs w:val="20"/>
        </w:rPr>
      </w:pPr>
    </w:p>
    <w:p w14:paraId="089034A4" w14:textId="77777777" w:rsidR="00F5342C" w:rsidRPr="005C0BDB" w:rsidRDefault="003871FA" w:rsidP="005C0BDB">
      <w:pPr>
        <w:pStyle w:val="Standard"/>
      </w:pPr>
      <w:r w:rsidRPr="005C0BDB">
        <w:rPr>
          <w:color w:val="000000"/>
          <w:sz w:val="20"/>
          <w:szCs w:val="20"/>
        </w:rPr>
        <w:t>Nazwa oferenta:…………………………………………….</w:t>
      </w:r>
    </w:p>
    <w:p w14:paraId="1F40207E" w14:textId="77777777" w:rsidR="00F5342C" w:rsidRPr="005C0BDB" w:rsidRDefault="003871FA" w:rsidP="005C0BDB">
      <w:pPr>
        <w:pStyle w:val="Standard"/>
      </w:pPr>
      <w:r w:rsidRPr="005C0BDB">
        <w:rPr>
          <w:color w:val="000000"/>
          <w:sz w:val="20"/>
          <w:szCs w:val="20"/>
        </w:rPr>
        <w:t>Producent……………………………………………………..</w:t>
      </w:r>
    </w:p>
    <w:p w14:paraId="7A2B3BFD" w14:textId="77777777" w:rsidR="00F5342C" w:rsidRPr="005C0BDB" w:rsidRDefault="003871FA" w:rsidP="005C0BDB">
      <w:pPr>
        <w:pStyle w:val="Standard"/>
      </w:pPr>
      <w:r w:rsidRPr="005C0BDB">
        <w:rPr>
          <w:color w:val="000000"/>
          <w:sz w:val="20"/>
          <w:szCs w:val="20"/>
        </w:rPr>
        <w:t>Nazwa i typ:………………………………………………….</w:t>
      </w:r>
    </w:p>
    <w:p w14:paraId="67A95E48" w14:textId="236077AF" w:rsidR="00F5342C" w:rsidRPr="005C0BDB" w:rsidRDefault="003871FA" w:rsidP="005C0BDB">
      <w:pPr>
        <w:pStyle w:val="Standard"/>
        <w:rPr>
          <w:color w:val="000000"/>
          <w:sz w:val="20"/>
          <w:szCs w:val="20"/>
        </w:rPr>
      </w:pPr>
      <w:r w:rsidRPr="00E0151A">
        <w:rPr>
          <w:color w:val="000000"/>
          <w:sz w:val="20"/>
          <w:szCs w:val="20"/>
        </w:rPr>
        <w:t xml:space="preserve">Rok produkcji: </w:t>
      </w:r>
      <w:r w:rsidR="00E0151A" w:rsidRPr="00E0151A">
        <w:rPr>
          <w:color w:val="000000"/>
          <w:sz w:val="20"/>
          <w:szCs w:val="20"/>
        </w:rPr>
        <w:t>……………………………………………….</w:t>
      </w:r>
    </w:p>
    <w:p w14:paraId="6792D648" w14:textId="77777777" w:rsidR="00F5342C" w:rsidRPr="005C0BDB" w:rsidRDefault="00F5342C" w:rsidP="005C0BDB">
      <w:pPr>
        <w:pStyle w:val="Standard"/>
        <w:rPr>
          <w:color w:val="000000"/>
          <w:sz w:val="20"/>
          <w:szCs w:val="20"/>
        </w:rPr>
      </w:pPr>
    </w:p>
    <w:tbl>
      <w:tblPr>
        <w:tblW w:w="10405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5"/>
        <w:gridCol w:w="7081"/>
        <w:gridCol w:w="1190"/>
        <w:gridCol w:w="1699"/>
      </w:tblGrid>
      <w:tr w:rsidR="00F5342C" w:rsidRPr="005C0BDB" w14:paraId="786D16BB" w14:textId="77777777">
        <w:trPr>
          <w:trHeight w:val="55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3781A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933F28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>Opis parametrów ogólnych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AC6D6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AC966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 xml:space="preserve">Parametr </w:t>
            </w:r>
            <w:r w:rsidRPr="005C0BD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br/>
              <w:t>oferowany</w:t>
            </w:r>
          </w:p>
        </w:tc>
      </w:tr>
      <w:tr w:rsidR="00F5342C" w:rsidRPr="005C0BDB" w14:paraId="062E86A4" w14:textId="77777777">
        <w:trPr>
          <w:trHeight w:val="544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E0B7B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B37CA" w14:textId="6C802F4E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Analizatory parametrów krytycznych </w:t>
            </w:r>
            <w:r w:rsidRPr="000D1B8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- rok produkcji nie starszy niż 2020</w:t>
            </w:r>
            <w:r w:rsidR="000D1B8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F80C83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04C60C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48AD4E27" w14:textId="77777777">
        <w:trPr>
          <w:trHeight w:val="109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FF19B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4B1B5" w14:textId="42BCC7FE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Automatyczne analizatory parametrów krytycznych pracując</w:t>
            </w:r>
            <w:r w:rsidR="00F94AB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e</w:t>
            </w: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 w systemie ciągłym, umożliwiając</w:t>
            </w:r>
            <w:r w:rsidR="00F94AB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e</w:t>
            </w: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 jednoczasowo i w jednej próbce pomiar oznaczenia: pH,pC02,p02,ctHb,MetHb, O2Hb,HHb, HbF,COHb,sO2,cNa+,cK+, </w:t>
            </w:r>
            <w:proofErr w:type="spellStart"/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cCa</w:t>
            </w:r>
            <w:proofErr w:type="spellEnd"/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++( wymagany zakres pomiarowy od 0,1 </w:t>
            </w:r>
            <w:proofErr w:type="spellStart"/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mmol</w:t>
            </w:r>
            <w:proofErr w:type="spellEnd"/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/l), </w:t>
            </w:r>
            <w:proofErr w:type="spellStart"/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cLac</w:t>
            </w:r>
            <w:proofErr w:type="spellEnd"/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 (mleczany),</w:t>
            </w:r>
            <w:proofErr w:type="spellStart"/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cCl</w:t>
            </w:r>
            <w:proofErr w:type="spellEnd"/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-, glukoza, bilirubina całkowita (wymagany zakres pomiarowy dla bilirubiny od 0,0 mg/dl do przynajmniej 50 mg/dl).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243E6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38B8C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586A4E62" w14:textId="77777777">
        <w:trPr>
          <w:trHeight w:val="607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C1545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8CF81" w14:textId="77777777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Dodatkowo jeden analizator ma posiadać możliwość poszerzenia panelu badań o  Kreatyninę i Mocznik.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6D8718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E467AD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7C808A41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DED15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CEC30" w14:textId="77777777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Analizatory pracujące w oparciu o 2 elementy tj. wielotestowe sensorowe kasety pomiarowe oraz pakiety odczynnikowe zawierające odczynniki, kalibratory i płyny kontroli jakości inne niż kalibratory.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DB1B3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A6F137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6E2D8469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4DBCE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16917" w14:textId="2D64F75D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Możliwość aspiracji próbki bezpośrednio ze strzykawki i z kapilary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198FD8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007F2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734C7A42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DA482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CEC83" w14:textId="7F585371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Możliwość wykonania pełnego panelu oznaczeń zarówno z kapilary jak i strzykawki (gazometria, oksymetria, metabolity, elektrolity) z próbki o objętości max.45µl -z kapilary,max.65 µl  - ze strzykawki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6A3CE7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AF1F31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65864B04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B1F8D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63B83" w14:textId="7A86040B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Czas do oznaczenia wszystkich parametrów w jednej próbce max.45 s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601E2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30728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4B7EC783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8CF36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24700" w14:textId="02560CB7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Automatyczny system pobierania próbek z funkcją wykrywania i usuwania skrzepów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DA928E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53D56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4719C09E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8BA11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6F0F9" w14:textId="3A327F8E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Automatyczne mieszanie próbki, wbudowane mieszadło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74F48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95A4C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6DBA9DD0" w14:textId="77777777">
        <w:trPr>
          <w:trHeight w:val="352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F5147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DEF80" w14:textId="3E543179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Brak konieczności kalibracji po każdym oznaczeniu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9F21E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A4309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4FDD6D86" w14:textId="77777777">
        <w:trPr>
          <w:trHeight w:val="374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523D5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C722E" w14:textId="3EFAB2FE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Czas kalibracji na każdym z analizatorów  w ciągu doby nie dłuższy niż 35 minut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51358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33FF7E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3BCA5D41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BF851E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2CF20" w14:textId="32B1916B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Automatyczna kalibracja jedno i dwupunktowa bez użycia butli gazowych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B0E8F3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E58273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04D81AA0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85A9B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8DDE7" w14:textId="612472DC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Możliwość wyłączenia aparatu bez utraty pozostałych w kasecie sensorowej testów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15A87B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D4E0D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14A46A21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820DB1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42787" w14:textId="4E575C94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Możliwość wyjęcia i ponownego zainstalowania  pakietu odczynnikowego oraz karty sensorowej bez utraty pozostałych testów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D32FF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A2904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0AD77279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82824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8B0BD" w14:textId="088780DF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Możliwość wykonania analizy z krwi pełnej oraz  z płynów kontroli </w:t>
            </w:r>
            <w:proofErr w:type="spellStart"/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zewnątrzlaboratoryjnych</w:t>
            </w:r>
            <w:proofErr w:type="spellEnd"/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 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211D53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6EE1C0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6FA2B8D8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F38D8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46261" w14:textId="0EDBF739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Wbudowana codzienna automatyczna kontrola jakości na 3 poziomach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 </w:t>
            </w: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(prawidłowy, patologicznie niski i patologicznie wysoki).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7EE7A5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99EED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07898C73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9A3300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35CA5" w14:textId="7481F58D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Wyniki kontroli jakości wykonywane na analizatorze przedstawiane  jako wartość liczbowa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25F106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9C26CE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13ECCEF7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DC290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DDD49" w14:textId="38B611F1" w:rsidR="00F5342C" w:rsidRPr="005C0BDB" w:rsidRDefault="003871FA" w:rsidP="005C0BDB">
            <w:pPr>
              <w:widowControl/>
              <w:suppressAutoHyphens w:val="0"/>
              <w:spacing w:after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Analizator wyposażony w program kontroli jakości z pamięcią wyników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9F2499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4BA458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4E392F6B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C8B1B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17F8D" w14:textId="3BDB1DCC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Możliwość dowolnego ustawienia poziomu i czasu wykonania kontroli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86F7B3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95FB4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7F681441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CEA1A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D8CD5" w14:textId="6012ED61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Monitorowanie poziomu odczynników i ich stabilności na pokładzie analizatora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E0B9B9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1BFCF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056710A2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DFA52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D90D9C" w14:textId="51298D03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Trwałość kaset pomiarowych oraz pakietów odczynnikowych, liczona od dnia zainstalowania w aparacie, nie mniejsza niż 30 dni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BC9C6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A8A24B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79D555FB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5D437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B391E" w14:textId="42137FB6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Pomiar wszystkich parametrów w jednym torze pomiarowym z jedną elektroda referencyjną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2B0666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A12A02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27CE0EDA" w14:textId="77777777">
        <w:trPr>
          <w:trHeight w:val="604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0746D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F1EFD" w14:textId="011737DF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Odczynniki zintegrowane z pojemnikiem ściekowym, możliwość przechowywania kaset odczynnikowych w temperaturze pokojowej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49BE3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D3459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5B806361" w14:textId="77777777">
        <w:trPr>
          <w:trHeight w:val="30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C96D7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38130" w14:textId="72C715D0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Możliwość korekty wyniku do temperatury pacjenta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FC210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4BF6B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62D27CD1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175A6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B5359" w14:textId="5A9CC86B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Możliwość podglądu mapy równowagi kwasowo-zasadowej zawierającej wykresy wyników pacjenta w odniesieniu do wyników standardowych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94257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2E89C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6BC51F77" w14:textId="7777777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B3717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D4D0B" w14:textId="4BC19FFD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Aparaty wyposażone we wbudowany czytnik kodów kreskowych umożliwiający identyfikację próbki oraz kontroli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9150BF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D3A09A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0565A26B" w14:textId="77777777">
        <w:trPr>
          <w:trHeight w:val="315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50B2D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A6309" w14:textId="5E23950F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Możliwość wprowadzenia danych demograficznych pacjenta oraz wbudowana drukarka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6381F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33CDA9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4EF39653" w14:textId="77777777">
        <w:trPr>
          <w:trHeight w:val="315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48411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B458F" w14:textId="161A4CB9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Aparaty proste w instalacji, przenośne, wyposażone w urządzenie zabezpieczające przed utratą odczynników na wypadek wyłączenia zasilania sieciowego (zasilanie awaryjne )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8606F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A841DE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46CDFBE5" w14:textId="77777777">
        <w:trPr>
          <w:trHeight w:val="315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ABC3A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3E13F" w14:textId="09FE1ABE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Analizatory kompatybilne z szpitalnym systemem informatycznym AMMS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5288B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143AC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1972D224" w14:textId="77777777">
        <w:trPr>
          <w:trHeight w:val="51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554EF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D83F5F" w14:textId="7454B413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Wykonawca zapewni podłączenie analizatorów  do szpitalnego systemu informatycznego  AMMS w ramach umowy. Podłączenie bezpośrednio do AMMS, wykonywanie badań w systemie </w:t>
            </w:r>
            <w:proofErr w:type="spellStart"/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bezzleceniowym</w:t>
            </w:r>
            <w:proofErr w:type="spellEnd"/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040497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30EFF8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6E65BA40" w14:textId="77777777">
        <w:trPr>
          <w:trHeight w:val="51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F468C5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44887" w14:textId="708D40EC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Na wyposażeniu aparatu system do zarządzania analizatorem. Zapewnienie dostępu do systemu zarządzania z komputera poprzez przeglądarkę internetową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3F194B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A1934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010333F6" w14:textId="77777777">
        <w:trPr>
          <w:trHeight w:val="51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72BB3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E058A" w14:textId="11084E51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Zdalna kontrola w czasie rzeczywistym analizatorów znajdujących się poza laboratorium w zakresie: ogólnego stanu i działania, stanu połączenia sieciowego, poziomu odczynników, kalibracji, wewnętrznej kontroli jakości, płukania. Możliwość generowania raportów z kontroli jakości</w:t>
            </w:r>
            <w:r w:rsidR="003B2B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A77AD6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205FAC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56492C9B" w14:textId="77777777">
        <w:trPr>
          <w:trHeight w:val="51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ED1C30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F43A5" w14:textId="77777777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Wykonawca zobowiązany będzie do aktualizacji oprogramowania analizatora. W przypadku braku możliwości  aktualizacji oprogramowania Wykonawca zobowiązuje się do dostosowania/ wymiany analizatora na inny aparat z zachowaniem tych samych funkcjonalności z aktualnym oprogramowaniem.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2C6AB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C4AA9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598D92E0" w14:textId="77777777">
        <w:trPr>
          <w:trHeight w:val="461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10FC6" w14:textId="77777777" w:rsidR="00F5342C" w:rsidRPr="005C0BDB" w:rsidRDefault="00F5342C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6F41F" w14:textId="77777777" w:rsidR="00F5342C" w:rsidRPr="005C0BDB" w:rsidRDefault="003871F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>Warunku serwisu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D03743" w14:textId="77777777" w:rsidR="00F5342C" w:rsidRPr="005C0BDB" w:rsidRDefault="00F5342C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4AB54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</w:tr>
      <w:tr w:rsidR="00F5342C" w:rsidRPr="005C0BDB" w14:paraId="1050C8DB" w14:textId="77777777">
        <w:trPr>
          <w:trHeight w:val="55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881A7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2BB30" w14:textId="3C8179A8" w:rsidR="00F5342C" w:rsidRPr="00E06A6F" w:rsidRDefault="00E0151A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E06A6F">
              <w:rPr>
                <w:rFonts w:ascii="Times New Roman" w:hAnsi="Times New Roman" w:cs="Times New Roman"/>
                <w:sz w:val="20"/>
                <w:szCs w:val="20"/>
              </w:rPr>
              <w:t>Wykonawca musi zapewnić w ramach czynszu dzierżawnego dostępność serwisu dla dzierżawionych aparatów.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3D9E9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FB7F56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F5342C" w14:paraId="15924A6B" w14:textId="77777777" w:rsidTr="00E06A6F">
        <w:trPr>
          <w:trHeight w:val="1442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63F65" w14:textId="77777777" w:rsidR="00F5342C" w:rsidRPr="00F94AB1" w:rsidRDefault="00F5342C" w:rsidP="005C0BDB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05F91" w14:textId="67B02F7D" w:rsidR="00E06A6F" w:rsidRPr="000D1B8B" w:rsidRDefault="00F94AB1" w:rsidP="00F94AB1">
            <w:pPr>
              <w:pStyle w:val="Default"/>
              <w:jc w:val="both"/>
              <w:rPr>
                <w:color w:val="auto"/>
                <w:kern w:val="0"/>
                <w:sz w:val="20"/>
                <w:szCs w:val="20"/>
                <w:lang w:eastAsia="pl-PL"/>
              </w:rPr>
            </w:pPr>
            <w:r w:rsidRPr="00F94AB1">
              <w:rPr>
                <w:kern w:val="0"/>
                <w:sz w:val="20"/>
                <w:szCs w:val="20"/>
                <w:lang w:eastAsia="pl-PL"/>
              </w:rPr>
              <w:t>C</w:t>
            </w:r>
            <w:r w:rsidRPr="00F94AB1">
              <w:rPr>
                <w:color w:val="auto"/>
                <w:kern w:val="0"/>
                <w:sz w:val="20"/>
                <w:szCs w:val="20"/>
                <w:lang w:eastAsia="pl-PL"/>
              </w:rPr>
              <w:t xml:space="preserve">zas </w:t>
            </w:r>
            <w:r w:rsidR="000A65F5">
              <w:rPr>
                <w:color w:val="auto"/>
                <w:kern w:val="0"/>
                <w:sz w:val="20"/>
                <w:szCs w:val="20"/>
                <w:lang w:eastAsia="pl-PL"/>
              </w:rPr>
              <w:t xml:space="preserve">naprawy, liczony od momentu zgłoszenia </w:t>
            </w:r>
            <w:r w:rsidR="00E06A6F">
              <w:rPr>
                <w:color w:val="auto"/>
                <w:kern w:val="0"/>
                <w:sz w:val="20"/>
                <w:szCs w:val="20"/>
                <w:lang w:eastAsia="pl-PL"/>
              </w:rPr>
              <w:t xml:space="preserve">przez Zamawiającego awarii dzierżawionych aparatów, </w:t>
            </w:r>
            <w:r w:rsidRPr="00F94AB1">
              <w:rPr>
                <w:color w:val="auto"/>
                <w:kern w:val="0"/>
                <w:sz w:val="20"/>
                <w:szCs w:val="20"/>
                <w:lang w:eastAsia="pl-PL"/>
              </w:rPr>
              <w:t xml:space="preserve">nie </w:t>
            </w:r>
            <w:r w:rsidR="000A65F5" w:rsidRPr="000D1B8B">
              <w:rPr>
                <w:color w:val="auto"/>
                <w:kern w:val="0"/>
                <w:sz w:val="20"/>
                <w:szCs w:val="20"/>
                <w:lang w:eastAsia="pl-PL"/>
              </w:rPr>
              <w:t xml:space="preserve">może </w:t>
            </w:r>
            <w:r w:rsidRPr="000D1B8B">
              <w:rPr>
                <w:color w:val="auto"/>
                <w:kern w:val="0"/>
                <w:sz w:val="20"/>
                <w:szCs w:val="20"/>
                <w:lang w:eastAsia="pl-PL"/>
              </w:rPr>
              <w:t>przekr</w:t>
            </w:r>
            <w:r w:rsidR="000A65F5" w:rsidRPr="000D1B8B">
              <w:rPr>
                <w:color w:val="auto"/>
                <w:kern w:val="0"/>
                <w:sz w:val="20"/>
                <w:szCs w:val="20"/>
                <w:lang w:eastAsia="pl-PL"/>
              </w:rPr>
              <w:t>oczyć</w:t>
            </w:r>
            <w:r w:rsidRPr="000D1B8B">
              <w:rPr>
                <w:color w:val="auto"/>
                <w:kern w:val="0"/>
                <w:sz w:val="20"/>
                <w:szCs w:val="20"/>
                <w:lang w:eastAsia="pl-PL"/>
              </w:rPr>
              <w:t xml:space="preserve"> </w:t>
            </w:r>
            <w:r w:rsidR="000A65F5" w:rsidRPr="000D1B8B">
              <w:rPr>
                <w:color w:val="auto"/>
                <w:kern w:val="0"/>
                <w:sz w:val="20"/>
                <w:szCs w:val="20"/>
                <w:lang w:eastAsia="pl-PL"/>
              </w:rPr>
              <w:t>48</w:t>
            </w:r>
            <w:r w:rsidRPr="000D1B8B">
              <w:rPr>
                <w:color w:val="auto"/>
                <w:kern w:val="0"/>
                <w:sz w:val="20"/>
                <w:szCs w:val="20"/>
                <w:lang w:eastAsia="pl-PL"/>
              </w:rPr>
              <w:t xml:space="preserve"> godzin w dni robocze. </w:t>
            </w:r>
          </w:p>
          <w:p w14:paraId="05B7E528" w14:textId="4581E604" w:rsidR="00F5342C" w:rsidRPr="00F94AB1" w:rsidRDefault="00F94AB1" w:rsidP="00E06A6F">
            <w:pPr>
              <w:pStyle w:val="Default"/>
              <w:jc w:val="both"/>
              <w:rPr>
                <w:kern w:val="0"/>
                <w:sz w:val="20"/>
                <w:szCs w:val="20"/>
                <w:lang w:eastAsia="pl-PL"/>
              </w:rPr>
            </w:pPr>
            <w:r w:rsidRPr="000D1B8B">
              <w:rPr>
                <w:kern w:val="0"/>
                <w:sz w:val="20"/>
                <w:szCs w:val="20"/>
                <w:lang w:eastAsia="pl-PL"/>
              </w:rPr>
              <w:t xml:space="preserve">W przypadku naprawy przekraczającej </w:t>
            </w:r>
            <w:r w:rsidR="00E06A6F" w:rsidRPr="000D1B8B">
              <w:rPr>
                <w:kern w:val="0"/>
                <w:sz w:val="20"/>
                <w:szCs w:val="20"/>
                <w:lang w:eastAsia="pl-PL"/>
              </w:rPr>
              <w:t>48</w:t>
            </w:r>
            <w:r w:rsidRPr="000D1B8B">
              <w:rPr>
                <w:kern w:val="0"/>
                <w:sz w:val="20"/>
                <w:szCs w:val="20"/>
                <w:lang w:eastAsia="pl-PL"/>
              </w:rPr>
              <w:t xml:space="preserve"> godzin, </w:t>
            </w:r>
            <w:r w:rsidRPr="000D1B8B">
              <w:rPr>
                <w:sz w:val="20"/>
                <w:szCs w:val="20"/>
              </w:rPr>
              <w:t>Wykonawca</w:t>
            </w:r>
            <w:r w:rsidRPr="00F94AB1">
              <w:rPr>
                <w:sz w:val="20"/>
                <w:szCs w:val="20"/>
              </w:rPr>
              <w:t xml:space="preserve"> niezwłocznie poinformuje Zamawiającego o zaistniałej sytuacji oraz dostarczy na czas naprawy sprzęt zastępczy o parametrach nie gorszych niż oferowane.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EE673" w14:textId="77777777" w:rsidR="00F5342C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3BCF73" w14:textId="77777777" w:rsidR="00F5342C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</w:tbl>
    <w:p w14:paraId="04BB1353" w14:textId="77777777" w:rsidR="00F94AB1" w:rsidRDefault="00F94AB1" w:rsidP="00F94AB1">
      <w:pPr>
        <w:pStyle w:val="Default"/>
        <w:jc w:val="both"/>
        <w:rPr>
          <w:kern w:val="0"/>
          <w:lang w:eastAsia="pl-PL"/>
        </w:rPr>
      </w:pPr>
    </w:p>
    <w:p w14:paraId="3EA4EC76" w14:textId="7B256694" w:rsidR="00F94AB1" w:rsidRDefault="00F94AB1" w:rsidP="00F94AB1">
      <w:pPr>
        <w:pStyle w:val="Default"/>
        <w:ind w:left="792"/>
        <w:jc w:val="both"/>
      </w:pPr>
    </w:p>
    <w:p w14:paraId="1C259B8E" w14:textId="77777777" w:rsidR="00F5342C" w:rsidRDefault="00F5342C" w:rsidP="005C0BDB">
      <w:pPr>
        <w:pStyle w:val="Standard"/>
        <w:rPr>
          <w:sz w:val="20"/>
          <w:szCs w:val="20"/>
        </w:rPr>
      </w:pPr>
    </w:p>
    <w:sectPr w:rsidR="00F5342C">
      <w:headerReference w:type="default" r:id="rId7"/>
      <w:pgSz w:w="11906" w:h="16838"/>
      <w:pgMar w:top="1417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34AF1" w14:textId="77777777" w:rsidR="000367D5" w:rsidRDefault="003871FA">
      <w:pPr>
        <w:spacing w:after="0"/>
      </w:pPr>
      <w:r>
        <w:separator/>
      </w:r>
    </w:p>
  </w:endnote>
  <w:endnote w:type="continuationSeparator" w:id="0">
    <w:p w14:paraId="4D3165CA" w14:textId="77777777" w:rsidR="000367D5" w:rsidRDefault="003871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D5A8B" w14:textId="77777777" w:rsidR="000367D5" w:rsidRDefault="003871FA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E248362" w14:textId="77777777" w:rsidR="000367D5" w:rsidRDefault="003871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95402" w14:textId="77777777" w:rsidR="00933826" w:rsidRDefault="003871FA">
    <w:pPr>
      <w:pStyle w:val="Nagwek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 xml:space="preserve">Szpital Specjalistyczny im. S. Żeromskiego  SP ZOZ w Krakowie, </w:t>
    </w:r>
    <w:r>
      <w:rPr>
        <w:rFonts w:ascii="Times New Roman" w:hAnsi="Times New Roman"/>
        <w:b/>
        <w:i/>
      </w:rPr>
      <w:br/>
      <w:t>oś. Na Skarpie 66, 31-913 Kraków</w:t>
    </w:r>
  </w:p>
  <w:p w14:paraId="56E8B727" w14:textId="77777777" w:rsidR="00933826" w:rsidRDefault="003871FA">
    <w:pPr>
      <w:pStyle w:val="Nagwek"/>
      <w:jc w:val="center"/>
    </w:pPr>
    <w:r>
      <w:rPr>
        <w:rFonts w:ascii="Times New Roman" w:hAnsi="Times New Roman"/>
        <w:b/>
        <w:i/>
      </w:rPr>
      <w:t>Dział Logistyki – Sekcja Aparatury Medycznej</w:t>
    </w:r>
  </w:p>
  <w:p w14:paraId="38C7389F" w14:textId="77777777" w:rsidR="00933826" w:rsidRDefault="009338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02B8A"/>
    <w:multiLevelType w:val="hybridMultilevel"/>
    <w:tmpl w:val="EF3EAA6A"/>
    <w:name w:val="WW8Num1123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F6892"/>
    <w:multiLevelType w:val="multilevel"/>
    <w:tmpl w:val="B5423D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FF034F"/>
    <w:multiLevelType w:val="multilevel"/>
    <w:tmpl w:val="2DCE81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AC41B8"/>
    <w:multiLevelType w:val="multilevel"/>
    <w:tmpl w:val="E2B4C4F0"/>
    <w:styleLink w:val="WWNum1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1FD69E4"/>
    <w:multiLevelType w:val="multilevel"/>
    <w:tmpl w:val="3754EB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79B5652"/>
    <w:multiLevelType w:val="multilevel"/>
    <w:tmpl w:val="B58A01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42C"/>
    <w:rsid w:val="000367D5"/>
    <w:rsid w:val="000A65F5"/>
    <w:rsid w:val="000D1B8B"/>
    <w:rsid w:val="0010035D"/>
    <w:rsid w:val="001D0F1E"/>
    <w:rsid w:val="002A2A2C"/>
    <w:rsid w:val="003773F8"/>
    <w:rsid w:val="003871FA"/>
    <w:rsid w:val="003B2BEF"/>
    <w:rsid w:val="00451F64"/>
    <w:rsid w:val="004E5C85"/>
    <w:rsid w:val="005B6977"/>
    <w:rsid w:val="005C0BDB"/>
    <w:rsid w:val="00603547"/>
    <w:rsid w:val="0061720B"/>
    <w:rsid w:val="00837CFE"/>
    <w:rsid w:val="00933826"/>
    <w:rsid w:val="009D10B9"/>
    <w:rsid w:val="00CA363D"/>
    <w:rsid w:val="00DA17F9"/>
    <w:rsid w:val="00DB2372"/>
    <w:rsid w:val="00DE7705"/>
    <w:rsid w:val="00E0151A"/>
    <w:rsid w:val="00E06A6F"/>
    <w:rsid w:val="00E9665D"/>
    <w:rsid w:val="00F228DF"/>
    <w:rsid w:val="00F5342C"/>
    <w:rsid w:val="00F94AB1"/>
    <w:rsid w:val="00FC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E4186"/>
  <w15:docId w15:val="{BB9A8908-CF0E-4446-BF10-DC39160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widowControl/>
      <w:suppressAutoHyphens w:val="0"/>
      <w:spacing w:after="0"/>
      <w:textAlignment w:val="auto"/>
      <w:outlineLvl w:val="0"/>
    </w:pPr>
    <w:rPr>
      <w:rFonts w:ascii="Arial" w:eastAsia="Times New Roman" w:hAnsi="Arial" w:cs="Arial"/>
      <w:b/>
      <w:bCs/>
      <w:kern w:val="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Default">
    <w:name w:val="Default"/>
    <w:pPr>
      <w:widowControl/>
      <w:suppressAutoHyphens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paragraph" w:customStyle="1" w:styleId="msonormal0">
    <w:name w:val="msonormal"/>
    <w:basedOn w:val="Normalny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xl65">
    <w:name w:val="xl65"/>
    <w:basedOn w:val="Normalny"/>
    <w:pPr>
      <w:widowControl/>
      <w:suppressAutoHyphens w:val="0"/>
      <w:spacing w:before="100" w:after="100"/>
      <w:textAlignment w:val="center"/>
    </w:pPr>
    <w:rPr>
      <w:rFonts w:ascii="Arial" w:eastAsia="Times New Roman" w:hAnsi="Arial" w:cs="Arial"/>
      <w:kern w:val="0"/>
      <w:sz w:val="18"/>
      <w:szCs w:val="18"/>
      <w:lang w:eastAsia="pl-PL"/>
    </w:rPr>
  </w:style>
  <w:style w:type="paragraph" w:customStyle="1" w:styleId="xl66">
    <w:name w:val="xl6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67">
    <w:name w:val="xl6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68">
    <w:name w:val="xl68"/>
    <w:basedOn w:val="Normalny"/>
    <w:pPr>
      <w:widowControl/>
      <w:suppressAutoHyphens w:val="0"/>
      <w:spacing w:before="100" w:after="100"/>
      <w:textAlignment w:val="center"/>
    </w:pPr>
    <w:rPr>
      <w:rFonts w:eastAsia="Times New Roman" w:cs="Calibri"/>
      <w:b/>
      <w:bCs/>
      <w:kern w:val="0"/>
      <w:sz w:val="24"/>
      <w:szCs w:val="24"/>
      <w:lang w:eastAsia="pl-PL"/>
    </w:rPr>
  </w:style>
  <w:style w:type="paragraph" w:customStyle="1" w:styleId="xl69">
    <w:name w:val="xl69"/>
    <w:basedOn w:val="Normalny"/>
    <w:pPr>
      <w:widowControl/>
      <w:suppressAutoHyphens w:val="0"/>
      <w:spacing w:before="100" w:after="100"/>
      <w:jc w:val="center"/>
      <w:textAlignment w:val="center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70">
    <w:name w:val="xl70"/>
    <w:basedOn w:val="Normalny"/>
    <w:pPr>
      <w:widowControl/>
      <w:suppressAutoHyphens w:val="0"/>
      <w:spacing w:before="100" w:after="100"/>
      <w:textAlignment w:val="center"/>
    </w:pPr>
    <w:rPr>
      <w:rFonts w:eastAsia="Times New Roman" w:cs="Calibri"/>
      <w:b/>
      <w:bCs/>
      <w:kern w:val="0"/>
      <w:sz w:val="18"/>
      <w:szCs w:val="18"/>
      <w:lang w:eastAsia="pl-PL"/>
    </w:rPr>
  </w:style>
  <w:style w:type="paragraph" w:customStyle="1" w:styleId="xl71">
    <w:name w:val="xl71"/>
    <w:basedOn w:val="Normalny"/>
    <w:pPr>
      <w:widowControl/>
      <w:suppressAutoHyphens w:val="0"/>
      <w:spacing w:before="100" w:after="100"/>
      <w:textAlignment w:val="center"/>
    </w:pPr>
    <w:rPr>
      <w:rFonts w:eastAsia="Times New Roman" w:cs="Calibri"/>
      <w:b/>
      <w:bCs/>
      <w:kern w:val="0"/>
      <w:sz w:val="24"/>
      <w:szCs w:val="24"/>
      <w:lang w:eastAsia="pl-PL"/>
    </w:rPr>
  </w:style>
  <w:style w:type="paragraph" w:customStyle="1" w:styleId="xl72">
    <w:name w:val="xl7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auto"/>
    </w:pPr>
    <w:rPr>
      <w:rFonts w:eastAsia="Times New Roman" w:cs="Calibri"/>
      <w:kern w:val="0"/>
      <w:sz w:val="24"/>
      <w:szCs w:val="24"/>
      <w:lang w:eastAsia="pl-PL"/>
    </w:rPr>
  </w:style>
  <w:style w:type="paragraph" w:customStyle="1" w:styleId="xl73">
    <w:name w:val="xl7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eastAsia="Times New Roman" w:cs="Calibri"/>
      <w:kern w:val="0"/>
      <w:sz w:val="24"/>
      <w:szCs w:val="24"/>
      <w:lang w:eastAsia="pl-PL"/>
    </w:rPr>
  </w:style>
  <w:style w:type="paragraph" w:customStyle="1" w:styleId="xl74">
    <w:name w:val="xl7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auto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75">
    <w:name w:val="xl75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customStyle="1" w:styleId="xl76">
    <w:name w:val="xl76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customStyle="1" w:styleId="xl77">
    <w:name w:val="xl77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customStyle="1" w:styleId="xl78">
    <w:name w:val="xl78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odstawowywcity">
    <w:name w:val="Body Text Indent"/>
    <w:basedOn w:val="Normalny"/>
    <w:pPr>
      <w:widowControl/>
      <w:suppressAutoHyphens w:val="0"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rPr>
      <w:rFonts w:ascii="Arial" w:eastAsia="Times New Roman" w:hAnsi="Arial" w:cs="Arial"/>
      <w:b/>
      <w:bCs/>
      <w:kern w:val="0"/>
      <w:szCs w:val="24"/>
      <w:lang w:eastAsia="pl-PL"/>
    </w:rPr>
  </w:style>
  <w:style w:type="character" w:customStyle="1" w:styleId="markedcontent">
    <w:name w:val="markedcontent"/>
    <w:basedOn w:val="Domylnaczcionkaakapitu"/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paragraph" w:styleId="Tekstpodstawowy">
    <w:name w:val="Body Text"/>
    <w:basedOn w:val="Normalny"/>
    <w:pPr>
      <w:widowControl/>
      <w:suppressAutoHyphens w:val="0"/>
      <w:spacing w:after="1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character" w:styleId="Pogrubienie">
    <w:name w:val="Strong"/>
    <w:basedOn w:val="Domylnaczcionkaakapitu"/>
    <w:uiPriority w:val="22"/>
    <w:qFormat/>
    <w:rsid w:val="003773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723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tech</dc:creator>
  <cp:lastModifiedBy>Agata Fijak</cp:lastModifiedBy>
  <cp:revision>2</cp:revision>
  <cp:lastPrinted>2023-07-25T11:03:00Z</cp:lastPrinted>
  <dcterms:created xsi:type="dcterms:W3CDTF">2025-07-21T07:17:00Z</dcterms:created>
  <dcterms:modified xsi:type="dcterms:W3CDTF">2025-07-21T07:17:00Z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