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3B65ABB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 xml:space="preserve">dostawa wyposażenia meblowego laboratorium komputerowego </w:t>
      </w:r>
      <w:proofErr w:type="spellStart"/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KSEiUOŚ</w:t>
      </w:r>
      <w:proofErr w:type="spellEnd"/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 xml:space="preserve"> nr 203 w budynku B3 - DE-dzp.272-</w:t>
      </w:r>
      <w:r w:rsidR="008416E8">
        <w:rPr>
          <w:rFonts w:ascii="Verdana" w:eastAsia="Calibri" w:hAnsi="Verdana" w:cs="Arial"/>
          <w:b/>
          <w:bCs/>
          <w:sz w:val="18"/>
          <w:szCs w:val="18"/>
        </w:rPr>
        <w:t>409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C42AF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16E8"/>
    <w:rsid w:val="008454CD"/>
    <w:rsid w:val="00A10C18"/>
    <w:rsid w:val="00C41A73"/>
    <w:rsid w:val="00C42AFE"/>
    <w:rsid w:val="00CC2AF4"/>
    <w:rsid w:val="00D02CD0"/>
    <w:rsid w:val="00DE4995"/>
    <w:rsid w:val="00E27B48"/>
    <w:rsid w:val="00E7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2025-07-08T10:59:00Z</dcterms:created>
  <dcterms:modified xsi:type="dcterms:W3CDTF">2025-07-08T10:59:00Z</dcterms:modified>
</cp:coreProperties>
</file>