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36C83" w:rsidP="00CD6836">
      <w:pPr>
        <w:jc w:val="right"/>
        <w:rPr>
          <w:sz w:val="22"/>
          <w:szCs w:val="22"/>
        </w:rPr>
      </w:pPr>
      <w:r w:rsidRPr="00C36C8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36C83">
        <w:rPr>
          <w:sz w:val="22"/>
          <w:szCs w:val="22"/>
        </w:rPr>
        <w:t>2025-06-25</w:t>
      </w:r>
    </w:p>
    <w:p w:rsidR="00C36C83" w:rsidRPr="00C36C83" w:rsidRDefault="00C36C83" w:rsidP="00CD6836">
      <w:pPr>
        <w:rPr>
          <w:b/>
          <w:bCs/>
          <w:sz w:val="22"/>
          <w:szCs w:val="22"/>
        </w:rPr>
      </w:pPr>
      <w:r w:rsidRPr="00C36C83">
        <w:rPr>
          <w:b/>
          <w:bCs/>
          <w:sz w:val="22"/>
          <w:szCs w:val="22"/>
        </w:rPr>
        <w:t>Akademia Górniczo - Hutnicza</w:t>
      </w:r>
    </w:p>
    <w:p w:rsidR="00C36C83" w:rsidRPr="00C36C83" w:rsidRDefault="00C36C83" w:rsidP="00CD6836">
      <w:pPr>
        <w:rPr>
          <w:b/>
          <w:bCs/>
          <w:sz w:val="22"/>
          <w:szCs w:val="22"/>
        </w:rPr>
      </w:pPr>
      <w:r w:rsidRPr="00C36C83">
        <w:rPr>
          <w:b/>
          <w:bCs/>
          <w:sz w:val="22"/>
          <w:szCs w:val="22"/>
        </w:rPr>
        <w:t>im. Stanisława Staszica w Krakowie</w:t>
      </w:r>
    </w:p>
    <w:p w:rsidR="006A5DF1" w:rsidRPr="00D91931" w:rsidRDefault="00C36C83" w:rsidP="00CD6836">
      <w:pPr>
        <w:rPr>
          <w:b/>
          <w:bCs/>
          <w:sz w:val="22"/>
          <w:szCs w:val="22"/>
        </w:rPr>
      </w:pPr>
      <w:r w:rsidRPr="00C36C83">
        <w:rPr>
          <w:b/>
          <w:bCs/>
          <w:sz w:val="22"/>
          <w:szCs w:val="22"/>
        </w:rPr>
        <w:t>Dział Zamówień Publicznych</w:t>
      </w:r>
    </w:p>
    <w:p w:rsidR="006A5DF1" w:rsidRPr="00BD5546" w:rsidRDefault="00C36C83" w:rsidP="00CD6836">
      <w:pPr>
        <w:rPr>
          <w:sz w:val="22"/>
          <w:szCs w:val="22"/>
        </w:rPr>
      </w:pPr>
      <w:r w:rsidRPr="00C36C8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36C83">
        <w:rPr>
          <w:sz w:val="22"/>
          <w:szCs w:val="22"/>
        </w:rPr>
        <w:t>30</w:t>
      </w:r>
    </w:p>
    <w:p w:rsidR="006A5DF1" w:rsidRPr="00BD5546" w:rsidRDefault="00C36C83" w:rsidP="00CD6836">
      <w:pPr>
        <w:rPr>
          <w:sz w:val="22"/>
          <w:szCs w:val="22"/>
        </w:rPr>
      </w:pPr>
      <w:r w:rsidRPr="00C36C8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36C83">
        <w:rPr>
          <w:sz w:val="22"/>
          <w:szCs w:val="22"/>
        </w:rPr>
        <w:t>Kraków</w:t>
      </w:r>
    </w:p>
    <w:p w:rsidR="006A5DF1" w:rsidRPr="00D91931" w:rsidRDefault="006A5DF1" w:rsidP="00CD6836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4086E" w:rsidRPr="00C36C83">
        <w:rPr>
          <w:b/>
          <w:sz w:val="22"/>
          <w:szCs w:val="22"/>
        </w:rPr>
        <w:t>DE-dzp.272-291/25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CD683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D683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CD683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CD6836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CD683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B14D2">
        <w:rPr>
          <w:rFonts w:ascii="Times New Roman" w:hAnsi="Times New Roman"/>
          <w:szCs w:val="28"/>
        </w:rPr>
        <w:t xml:space="preserve"> I ZMIANY W SWZ</w:t>
      </w:r>
    </w:p>
    <w:p w:rsidR="00CD6836" w:rsidRDefault="00CD6836" w:rsidP="00CD6836">
      <w:pPr>
        <w:jc w:val="both"/>
        <w:rPr>
          <w:sz w:val="22"/>
          <w:szCs w:val="22"/>
        </w:rPr>
      </w:pPr>
    </w:p>
    <w:p w:rsidR="006D4AB3" w:rsidRPr="006A5DF1" w:rsidRDefault="00632C3C" w:rsidP="00CD683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36C83" w:rsidRPr="00C36C8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36C83" w:rsidRPr="00C36C83">
        <w:rPr>
          <w:b/>
          <w:bCs/>
          <w:sz w:val="22"/>
          <w:szCs w:val="22"/>
        </w:rPr>
        <w:t>Dostawa drukarki 3D do metali techniką SLM - DE-dzp.272-291/25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36C83" w:rsidRPr="00C36C83">
        <w:rPr>
          <w:b/>
          <w:sz w:val="22"/>
          <w:szCs w:val="22"/>
        </w:rPr>
        <w:t>DE-dzp.272-291/25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CD683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6C83" w:rsidRPr="006A5DF1" w:rsidTr="00026D11">
        <w:tc>
          <w:tcPr>
            <w:tcW w:w="9356" w:type="dxa"/>
            <w:shd w:val="clear" w:color="auto" w:fill="auto"/>
          </w:tcPr>
          <w:p w:rsidR="00CD6836" w:rsidRDefault="00CD6836" w:rsidP="00CD6836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:rsidR="00C36C83" w:rsidRPr="00CD6836" w:rsidRDefault="00CD6836" w:rsidP="00CD6836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CD6836">
              <w:rPr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Proponowana wersja umowy, zawiera zapisy niezgodne z wytycznymi spółki co do realizacji dostaw.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Poniżej przedstawiam zapis, propozycję zmian i argumentacje odnośnie tych zapisów.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70C77">
              <w:rPr>
                <w:b/>
                <w:sz w:val="22"/>
                <w:szCs w:val="22"/>
              </w:rPr>
              <w:t>§ 5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Aktualny zapis: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8.</w:t>
            </w:r>
            <w:r w:rsidR="00D4086E" w:rsidRPr="00CD6836">
              <w:rPr>
                <w:sz w:val="22"/>
                <w:szCs w:val="22"/>
              </w:rPr>
              <w:t xml:space="preserve"> </w:t>
            </w:r>
            <w:r w:rsidRPr="00CD6836">
              <w:rPr>
                <w:sz w:val="22"/>
                <w:szCs w:val="22"/>
              </w:rPr>
              <w:t>Jeżeli kary umowne nie pokryją poniesionej szkody, Strony niniejszej umowy zastrzegają sobie prawo dochodzenia odszkodowania uzupełniającego na zasadach określonych w art. 471 K.C. do wysokości poniesionej szkody.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Propozycja zmiany: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8.</w:t>
            </w:r>
            <w:r w:rsidR="00D4086E" w:rsidRPr="00CD6836">
              <w:rPr>
                <w:sz w:val="22"/>
                <w:szCs w:val="22"/>
              </w:rPr>
              <w:t xml:space="preserve"> </w:t>
            </w:r>
            <w:r w:rsidRPr="00CD6836">
              <w:rPr>
                <w:sz w:val="22"/>
                <w:szCs w:val="22"/>
              </w:rPr>
              <w:t>Jeżeli kary umowne nie pokryją poniesionej szkody, Strony niniejszej umowy zastrzegają sobie prawo dochodzenia odszkodowania uzupełniającego na zasadach określonych w art. 471 K.C. z wyłączeniem możliwości dochodzenia odszkodowania z tytułu utraconych korzyści. Sprzedający ponosi wobec Kupującego odpowiedzialność wyłącznie za szkodę rzeczywistą poniesioną przez Kupującego za niewykonanie lub nienależyte wykonanie niniejszej Umowy z całkowitym ograniczeniem odpowiedzialności Sprzedającego z wszystkich tytułów do maksymalnie 100% ceny całkowitej netto Przedmiotu Sprzedaży.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E70C77">
              <w:rPr>
                <w:sz w:val="22"/>
                <w:szCs w:val="22"/>
                <w:u w:val="single"/>
              </w:rPr>
              <w:t>Uzasadnienie:</w:t>
            </w:r>
            <w:r w:rsidRPr="00CD6836">
              <w:rPr>
                <w:sz w:val="22"/>
                <w:szCs w:val="22"/>
              </w:rPr>
              <w:t xml:space="preserve"> Wytyczne spółki. Ograniczenie roszczeń odszkodowawczych do wysokości inwestycji, szczególnie ważne jest wyłączenie niemierzalnych korzyści, które mogłyby zostać utracone w przypadku niekorzystnego zbiegu okoliczności.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 xml:space="preserve"> 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70C77">
              <w:rPr>
                <w:b/>
                <w:sz w:val="22"/>
                <w:szCs w:val="22"/>
              </w:rPr>
              <w:t>§ 8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Aktualny zapis: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1.</w:t>
            </w:r>
            <w:r w:rsidR="00E70C77">
              <w:rPr>
                <w:sz w:val="22"/>
                <w:szCs w:val="22"/>
              </w:rPr>
              <w:t xml:space="preserve"> </w:t>
            </w:r>
            <w:r w:rsidRPr="00CD6836">
              <w:rPr>
                <w:sz w:val="22"/>
                <w:szCs w:val="22"/>
              </w:rPr>
              <w:t>Sprzedawca udziela ....... miesięcznej gwarancji jakości na urządzenie będące przedmiotem niniejszej umowy, przy czym uprawnienia z tytułu rękojmi nie zostają wyłączone. Okres gwarancji liczy się od daty podpisania bezusterkowego protokołu zdawczo-odbiorczego.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Propozycja zmiany: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1. Sprzedawca udziela ....... miesięcznej gwarancji jakości na urządzenie będące przedmiotem niniejszej umowy. Niniejsza gwarancja jest wyłączną podstawą dochodzenia przez Kupującego od Sprzedającego usunięcia ujawnionych wad w Przedmiocie Sprzedaży. Strony zgodnie tym samym wyłączają odpowiedzialność Sprzedającego z tytułu rękojmi za wady, w związku z powyższym do Umowy nie mają zastosowania przepisy 556 - 576 Kodeksu cywilnego. Okres gwarancji liczy się od daty podpisania bezusterkowego protokołu zdawczo-odbiorczego.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Uzasadnienie: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 xml:space="preserve">Wytyczne spółki. Zapisy odnośnie rękojmi są niekorzystne dla dostawców urządzeń zaawansowanych </w:t>
            </w:r>
            <w:r w:rsidRPr="00CD6836">
              <w:rPr>
                <w:sz w:val="22"/>
                <w:szCs w:val="22"/>
              </w:rPr>
              <w:lastRenderedPageBreak/>
              <w:t>technologicznie, których cykl produkcyjny jest długi i wymiana urządzeń kosztowna. Proponujemy wysokiej jakości warunki gwarancji uwzględniające możliwość wymiany maszyny w przypadku braku możliwości jej naprawy, lub jeśli naprawa przedłuża się, powodując uciążliwość dla Kupującego.</w:t>
            </w:r>
          </w:p>
          <w:p w:rsidR="00E70C77" w:rsidRDefault="00E70C77" w:rsidP="00CD683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Aktualny zapis: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6. d)     Czas reakcji na zgłoszenie usterki nie może być dłuższy niż 1 dzień od momentu zgłoszenia, czas naprawy nie dłuższy niż 10 dni  od momentu zgłoszenia¬.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Propozycja zmiany: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6. d)     Czas reakcji na zgłoszenie usterki nie może być dłuższy niż 1 dzień roboczy od momentu zgłoszenia, czas naprawy nie dłuższy niż 10 dni od momentu zgłoszenia, z zastrzeżeniem iż w przypadku gdy uszkodzony element (podzespół) musi być sprowadzony z zagranicy, to czas naprawy wyniesie maksymalnie 45 dni.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Uzasadnienie: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Większość części jest dostępna do dostawy w ciągu 24h, sporadycznie złożone zespoły, mają dłuższy czas dostawy, szczególnie jeśli statystycznie rzecz biorąc, nie ulegają awarii, więc są zamawiane wg potrzeby i ich czas dostawy zależy od możliwości wykonania przez dział produkcji lub poddostawcę.</w:t>
            </w:r>
          </w:p>
          <w:p w:rsidR="00E70C77" w:rsidRDefault="00E70C77" w:rsidP="00CD683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Aktualny zapis: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 xml:space="preserve">9.        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Propozycja zmiany: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9.         W przypadku nie usunięcia przez Sprzedawcę usterki lub wady w terminie wymaganym przez Kupującego lub w przypadku braku reakcji na zawiadomienie o usterce lub wadzie dostarczonego sprzętu Kupujący, po ponownym jednokrotnym wezwaniu do ich usunięcia, Zamawiający ma prawo zlecić naprawę, bezpośrednio do producenta przedmiotu zamówienia, z pominięciem wykonawcy i na koszt wykonawcy.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W przypadku dokonania przez Zamawiającego jakichkolwiek nieautoryzowanych modyfikacji czy napraw w Przedmiocie Umowy, Zamawiający nieodwołalnie traci prawo do gwarancji.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Uzasadnienie: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Urządzenie specjalistyczne. Nie jest możliwa naprawa przez serwis bez odpowiedniego przeszkolenia. Dlatego proponujemy możliwość skorzystania z dowolnego autoryzowanego serwisu producenta z pominięciem Sprzedającego. Wszelkie nieautoryzowane naprawy i modyfikacje mogą stać się przyczyną kosztownych w naprawie usterek, i otwierały drogę do dyskusji nad odpowiedzialnością, stąd w przypadku podjęcia takiej decyzji, urządzenie nie może być dalej objęte gwarancją producenta.</w:t>
            </w:r>
          </w:p>
          <w:p w:rsidR="00E70C77" w:rsidRDefault="00E70C77" w:rsidP="00CD683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Aktualny zapis: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10.       Sprzedawca zobowiązuje się do wymiany wadliwego urządzenia (zespołu) na wolny od wad po bezskutecznych dwóch naprawach gwarancyjnych.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t>Propozycja zmiany: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10. Jeżeli naprawa Sprzętu okaże się niemożliwa lub tez naprawiony Sprzęt nie będzie spełniał tych samych parametrów i/lub nie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będzie zachowywał swojej 100% funkcjonalności, wówczas Wykonawca zobowiązuje się do dostarczenia nowego Sprzętu o takich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samych lub wyższych parametrach (standardzie i funkcjonalności).</w:t>
            </w:r>
          </w:p>
          <w:p w:rsidR="00C36C83" w:rsidRPr="00E70C77" w:rsidRDefault="00C36C83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sz w:val="22"/>
                <w:szCs w:val="22"/>
                <w:u w:val="single"/>
              </w:rPr>
              <w:lastRenderedPageBreak/>
              <w:t>Uzasadnienie: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Dwie próby bezskutecznych napraw to mało precyzyjny zapis, mógłby oznaczać 2 wizyty serwisu, które nie zakończyły się przywróceniem urządzenia do poprawnego działania.</w:t>
            </w:r>
          </w:p>
          <w:p w:rsidR="00E70C77" w:rsidRDefault="00E70C77" w:rsidP="00CD683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Chcielibyśmy również,  aby pojawił się dodatkowo zapis: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14. Gwarancją nie są objęte: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a) mechaniczne uszkodzenia spowodowane przez KUPUJĄCEGO,</w:t>
            </w:r>
          </w:p>
          <w:p w:rsidR="00C36C83" w:rsidRPr="00CD6836" w:rsidRDefault="00C36C83" w:rsidP="00CD6836">
            <w:pPr>
              <w:ind w:left="314" w:right="-72" w:hanging="284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b) uszkodzenia i wady powstałe na skutek używania Przedmiotu Sprzedaży niezgodnie z instrukcją obsługi oraz innymi wydanymi KUPUJĄCEMU dokumentami,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c)  naprawy podjęte przez KUPUJĄCEGO we własnym zakresie,</w:t>
            </w: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d)  części szybko zużywalne,</w:t>
            </w:r>
          </w:p>
          <w:p w:rsidR="00C36C83" w:rsidRPr="00CD6836" w:rsidRDefault="00C36C83" w:rsidP="00CD6836">
            <w:pPr>
              <w:ind w:left="314" w:right="-72" w:hanging="284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 xml:space="preserve">e) </w:t>
            </w:r>
            <w:r w:rsidR="00CD6836">
              <w:rPr>
                <w:sz w:val="22"/>
                <w:szCs w:val="22"/>
              </w:rPr>
              <w:t>u</w:t>
            </w:r>
            <w:r w:rsidRPr="00CD6836">
              <w:rPr>
                <w:sz w:val="22"/>
                <w:szCs w:val="22"/>
              </w:rPr>
              <w:t>sterki powstałe ze strony KUPUJĄCEGO w wyniku błędów aplikacji, programowania, infrastruktury, konserwacji i obsługi.</w:t>
            </w:r>
          </w:p>
          <w:p w:rsidR="00C36C83" w:rsidRPr="00CD6836" w:rsidRDefault="00C36C83" w:rsidP="00CD6836">
            <w:pPr>
              <w:ind w:left="172" w:right="-72" w:hanging="1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f) Gwarancja nie obowiązuje gdy Kupujący zastosował nieoryginalne narzędzia lub części zamienne lub części szybko zużywalne.</w:t>
            </w:r>
          </w:p>
          <w:p w:rsidR="00C36C83" w:rsidRPr="00DC3455" w:rsidRDefault="00C36C83" w:rsidP="00CD6836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DC3455">
              <w:rPr>
                <w:b/>
                <w:bCs/>
                <w:sz w:val="22"/>
                <w:szCs w:val="22"/>
                <w:u w:val="single"/>
              </w:rPr>
              <w:t>Odpowiedź:</w:t>
            </w:r>
          </w:p>
          <w:p w:rsidR="00CD6836" w:rsidRPr="00DC3455" w:rsidRDefault="00CD6836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DC3455">
              <w:rPr>
                <w:sz w:val="22"/>
                <w:szCs w:val="22"/>
                <w:u w:val="single"/>
              </w:rPr>
              <w:t>Zamawiający wyraża zgodę na proponowane zmiany w umowie, za wyjątkiem zmiany w § 8 ust.10. Zapisy w § 8 ust.10 wzoru umowy pozostają bez zmian.</w:t>
            </w:r>
          </w:p>
          <w:p w:rsidR="00E70C77" w:rsidRDefault="00E70C77" w:rsidP="00CD6836">
            <w:pPr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CD6836" w:rsidRPr="00DC3455" w:rsidRDefault="00CD6836" w:rsidP="00CD683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DC3455">
              <w:rPr>
                <w:b/>
                <w:sz w:val="22"/>
                <w:szCs w:val="22"/>
              </w:rPr>
              <w:t>Pytanie 2. (Obszar roboczy)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Czy Zamawiający dopuszcza urządzenie posiadające obszar roboczy w kształcie prostopadłościanu o wymiarach 150 x 150 x 150 [mm]?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Przedstawiony w SIWZ obszar roboczy w postaci walca o wymiarach fi 80–100 [mm] oraz wysokości 90–100 [mm] mieści się w prostopadłościanie 150 x 150 x 150 [mm]. Dodatkowo, większa przestrzeń robocza pozwala na produkcję większej liczby detali w jednym cyklu, co jest istotne z punktu widzenia efektywności pracy i zużycia gazu osłonowego.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D6836">
              <w:rPr>
                <w:b/>
                <w:sz w:val="22"/>
                <w:szCs w:val="22"/>
                <w:u w:val="single"/>
              </w:rPr>
              <w:t>Odpowiedź:</w:t>
            </w:r>
            <w:r w:rsidRPr="00CD6836">
              <w:rPr>
                <w:sz w:val="22"/>
                <w:szCs w:val="22"/>
                <w:u w:val="single"/>
              </w:rPr>
              <w:t xml:space="preserve"> 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urządzenia posiadającego</w:t>
            </w:r>
            <w:r w:rsidR="00CF05A0">
              <w:rPr>
                <w:sz w:val="22"/>
                <w:szCs w:val="22"/>
              </w:rPr>
              <w:t xml:space="preserve"> </w:t>
            </w:r>
            <w:r w:rsidR="00CF05A0" w:rsidRPr="00CD6836">
              <w:rPr>
                <w:sz w:val="22"/>
                <w:szCs w:val="22"/>
              </w:rPr>
              <w:t>obszar roboczy w kształcie prostopadłościanu o wymiarach 150 x 150 x 150 [mm]</w:t>
            </w:r>
            <w:bookmarkStart w:id="0" w:name="_GoBack"/>
            <w:bookmarkEnd w:id="0"/>
            <w:r w:rsidRPr="00CD6836">
              <w:rPr>
                <w:sz w:val="22"/>
                <w:szCs w:val="22"/>
              </w:rPr>
              <w:t xml:space="preserve">. Jesteśmy jednostką naukową i pracujemy bardzo często na ograniczonej ilości materiału wsadowego. 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D6836" w:rsidRPr="00E70C77" w:rsidRDefault="00CD6836" w:rsidP="00CD683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70C77">
              <w:rPr>
                <w:b/>
                <w:sz w:val="22"/>
                <w:szCs w:val="22"/>
              </w:rPr>
              <w:t xml:space="preserve">Pytanie </w:t>
            </w:r>
            <w:r w:rsidR="00E70C77">
              <w:rPr>
                <w:b/>
                <w:sz w:val="22"/>
                <w:szCs w:val="22"/>
              </w:rPr>
              <w:t>3</w:t>
            </w:r>
            <w:r w:rsidRPr="00E70C77">
              <w:rPr>
                <w:b/>
                <w:sz w:val="22"/>
                <w:szCs w:val="22"/>
              </w:rPr>
              <w:t>. (Wielkość plamki lasera)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Czy Zamawiający dopuszcza urządzenie, które umożliwia wybór wielkości plamki lasera 50 µm (dla większej precyzji) oraz 100 µm (dla większej wydajności)?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Wskazane w SIWZ wartości 55 µm i 80 µm są zbliżone funkcjonalnie, a w praktyce wartości 50 i 100 µm zapewniają szerszy zakres zastosowań i elastyczność w doborze parametrów procesu.</w:t>
            </w:r>
          </w:p>
          <w:p w:rsidR="00E70C77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E70C77">
              <w:rPr>
                <w:b/>
                <w:sz w:val="22"/>
                <w:szCs w:val="22"/>
                <w:u w:val="single"/>
              </w:rPr>
              <w:t>Odpowiedź:</w:t>
            </w:r>
            <w:r w:rsidRPr="00CD6836">
              <w:rPr>
                <w:sz w:val="22"/>
                <w:szCs w:val="22"/>
              </w:rPr>
              <w:t xml:space="preserve"> </w:t>
            </w:r>
          </w:p>
          <w:p w:rsidR="00CD6836" w:rsidRPr="00CD6836" w:rsidRDefault="00E70C77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urządzenie, </w:t>
            </w:r>
            <w:r w:rsidRPr="00CD6836">
              <w:rPr>
                <w:sz w:val="22"/>
                <w:szCs w:val="22"/>
              </w:rPr>
              <w:t>które umożliwia wybór wielkości plamki lasera 50 µm (dla większej precyzji) oraz 100 µm (dla większej wydajności)</w:t>
            </w:r>
            <w:r w:rsidR="00CD6836" w:rsidRPr="00CD6836">
              <w:rPr>
                <w:sz w:val="22"/>
                <w:szCs w:val="22"/>
              </w:rPr>
              <w:t xml:space="preserve">. Jest to zakres, który jest dla nas akceptowalny.  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D6836" w:rsidRPr="00E70C77" w:rsidRDefault="00CD6836" w:rsidP="00CD683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70C77">
              <w:rPr>
                <w:b/>
                <w:sz w:val="22"/>
                <w:szCs w:val="22"/>
              </w:rPr>
              <w:t xml:space="preserve">Pytanie </w:t>
            </w:r>
            <w:r w:rsidR="00E70C77">
              <w:rPr>
                <w:b/>
                <w:sz w:val="22"/>
                <w:szCs w:val="22"/>
              </w:rPr>
              <w:t>4</w:t>
            </w:r>
            <w:r w:rsidRPr="00E70C77">
              <w:rPr>
                <w:b/>
                <w:sz w:val="22"/>
                <w:szCs w:val="22"/>
              </w:rPr>
              <w:t>. (Automatyczna zmiana płyt wydruku)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Czy Zamawiający dopuszcza rozwiązanie alternatywne, w którym zamiast systemu automatycznej zmiany płyt roboczych stosowany jest pojedynczy stół roboczy o znacznie większej powierzchni (np. 150 x 150 [mm]), umożliwiający drukowanie większej liczby detali w jednym procesie?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W opinii Wykonawcy, przy zastosowaniach edukacyjno-badawczych takie rozwiązanie jest bardziej efektywne i korzystne, ogranicza zużycie gazu osłonowego oraz upraszcza konstrukcję maszyny, zmniejszając ryzyko awarii systemu automatyki.</w:t>
            </w:r>
          </w:p>
          <w:p w:rsidR="00E70C77" w:rsidRPr="00E70C77" w:rsidRDefault="00CD6836" w:rsidP="00CD6836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70C77">
              <w:rPr>
                <w:b/>
                <w:sz w:val="22"/>
                <w:szCs w:val="22"/>
                <w:u w:val="single"/>
              </w:rPr>
              <w:t>Odpowiedź:</w:t>
            </w:r>
            <w:r w:rsidRPr="00E70C77">
              <w:rPr>
                <w:sz w:val="22"/>
                <w:szCs w:val="22"/>
                <w:u w:val="single"/>
              </w:rPr>
              <w:t xml:space="preserve"> </w:t>
            </w:r>
          </w:p>
          <w:p w:rsidR="00CD6836" w:rsidRPr="00CD6836" w:rsidRDefault="00E70C77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proponowanego rozwiązania. </w:t>
            </w:r>
            <w:r w:rsidR="00CD6836" w:rsidRPr="00CD6836">
              <w:rPr>
                <w:sz w:val="22"/>
                <w:szCs w:val="22"/>
              </w:rPr>
              <w:t xml:space="preserve">Urządzenie ma być używane w określonych projektach badawczych i rozwiązanie systemu automatycznej zmiany płyt roboczych jest niezbędne do ich realizacji. 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D6836" w:rsidRPr="00E70C77" w:rsidRDefault="00CD6836" w:rsidP="00CD683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70C77">
              <w:rPr>
                <w:b/>
                <w:sz w:val="22"/>
                <w:szCs w:val="22"/>
              </w:rPr>
              <w:t xml:space="preserve">Pytanie </w:t>
            </w:r>
            <w:r w:rsidR="00E70C77" w:rsidRPr="00E70C77">
              <w:rPr>
                <w:b/>
                <w:sz w:val="22"/>
                <w:szCs w:val="22"/>
              </w:rPr>
              <w:t>5</w:t>
            </w:r>
            <w:r w:rsidRPr="00E70C77">
              <w:rPr>
                <w:b/>
                <w:sz w:val="22"/>
                <w:szCs w:val="22"/>
              </w:rPr>
              <w:t>. (Monitoring stanu urządzenia)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 xml:space="preserve">Czy Zamawiający dopuszcza urządzenie, które nie monitoruje wszystkich wymienionych parametrów, </w:t>
            </w:r>
            <w:r w:rsidRPr="00CD6836">
              <w:rPr>
                <w:sz w:val="22"/>
                <w:szCs w:val="22"/>
              </w:rPr>
              <w:lastRenderedPageBreak/>
              <w:t>a jedynie te kluczowe z punktu widzenia poprawności procesu druku i bezpieczeństwa eksploatacji, takie jak poziom tlenu, temperatura komory czy zużycie filtra?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W szczególności prosimy o potwierdzenie, czy możliwe jest odstąpienie od wymogu pomiaru wilgotności gazu ochronnego, biorąc pod uwagę zastosowanie gazów wysokiej czystości (klasa 4.6 lub 5.0), w których zawartość pary wodnej jest pomijalna.</w:t>
            </w:r>
          </w:p>
          <w:p w:rsidR="00E70C77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E70C77">
              <w:rPr>
                <w:b/>
                <w:sz w:val="22"/>
                <w:szCs w:val="22"/>
                <w:u w:val="single"/>
              </w:rPr>
              <w:t>Odpowiedź:</w:t>
            </w:r>
            <w:r w:rsidRPr="00CD6836">
              <w:rPr>
                <w:sz w:val="22"/>
                <w:szCs w:val="22"/>
              </w:rPr>
              <w:t xml:space="preserve"> </w:t>
            </w:r>
          </w:p>
          <w:p w:rsidR="00CD6836" w:rsidRPr="00CD6836" w:rsidRDefault="00E70C77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urządzenia, które nie monitoruje wszystkich wymienionych parametrów</w:t>
            </w:r>
            <w:r w:rsidR="00CD6836" w:rsidRPr="00CD6836">
              <w:rPr>
                <w:sz w:val="22"/>
                <w:szCs w:val="22"/>
              </w:rPr>
              <w:t xml:space="preserve">. Urządzenie ma służyć badaniom naukowym i monitorowanie wymienionych parametrów jest niezbędne. Co do czujników, prowadzimy badania naukowe na nowych niekomercyjnych materiałach i technologiach, chcemy mieć pewność co do warunków panujących podczas procesu. 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D6836" w:rsidRPr="00E70C77" w:rsidRDefault="00CD6836" w:rsidP="00CD683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70C77">
              <w:rPr>
                <w:b/>
                <w:sz w:val="22"/>
                <w:szCs w:val="22"/>
              </w:rPr>
              <w:t xml:space="preserve">Pytanie </w:t>
            </w:r>
            <w:r w:rsidR="00E70C77" w:rsidRPr="00E70C77">
              <w:rPr>
                <w:b/>
                <w:sz w:val="22"/>
                <w:szCs w:val="22"/>
              </w:rPr>
              <w:t>6</w:t>
            </w:r>
            <w:r w:rsidRPr="00E70C77">
              <w:rPr>
                <w:b/>
                <w:sz w:val="22"/>
                <w:szCs w:val="22"/>
              </w:rPr>
              <w:t>. (Przełączanie gazu)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Czy Zamawiający dopuszcza zastosowanie zewnętrznego panelu automatycznego przełączania butli z gazem osłonowym, spełniającego wymóg ciągłości zasilania gazem, bez konieczności integracji tego systemu wewnątrz maszyny?</w:t>
            </w:r>
          </w:p>
          <w:p w:rsidR="00DC3455" w:rsidRPr="00CD6836" w:rsidRDefault="00DC3455" w:rsidP="00DC3455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Uzasadnienie ogólne:</w:t>
            </w:r>
          </w:p>
          <w:p w:rsidR="00DC3455" w:rsidRPr="00CD6836" w:rsidRDefault="00DC3455" w:rsidP="00DC3455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Wykonawca oferuje urządzenie o otwartej architekturze systemowej, umożliwiającej pełną kontrolę parametrów procesu i eksperymentowanie z nowymi materiałami i strategiami druku.</w:t>
            </w:r>
          </w:p>
          <w:p w:rsidR="00CD6836" w:rsidRPr="00CD6836" w:rsidRDefault="00DC3455" w:rsidP="00DC3455">
            <w:pPr>
              <w:ind w:left="30" w:right="-72"/>
              <w:jc w:val="both"/>
              <w:rPr>
                <w:sz w:val="22"/>
                <w:szCs w:val="22"/>
              </w:rPr>
            </w:pPr>
            <w:r w:rsidRPr="00CD6836">
              <w:rPr>
                <w:sz w:val="22"/>
                <w:szCs w:val="22"/>
              </w:rPr>
              <w:t>Taka konfiguracja jest szczególnie przydatna w projektach badawczo-rozwojowych oraz dydaktycznych, gdzie elastyczność i możliwość dostosowania maszyny do konkretnych potrzeb użytkownika stanowi istotną wartość dodaną.</w:t>
            </w:r>
          </w:p>
          <w:p w:rsidR="00E70C77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 w:rsidRPr="00E70C77">
              <w:rPr>
                <w:b/>
                <w:sz w:val="22"/>
                <w:szCs w:val="22"/>
                <w:u w:val="single"/>
              </w:rPr>
              <w:t>Odpowiedź:</w:t>
            </w:r>
            <w:r w:rsidRPr="00CD6836">
              <w:rPr>
                <w:sz w:val="22"/>
                <w:szCs w:val="22"/>
              </w:rPr>
              <w:t xml:space="preserve"> </w:t>
            </w:r>
          </w:p>
          <w:p w:rsidR="00CD6836" w:rsidRPr="00CD6836" w:rsidRDefault="00E70C77" w:rsidP="00CD6836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CD6836">
              <w:rPr>
                <w:sz w:val="22"/>
                <w:szCs w:val="22"/>
              </w:rPr>
              <w:t>zastosowanie zewnętrznego panelu automatycznego przełączania butli z gazem osłonowym, spełniającego wymóg ciągłości zasilania gazem, bez konieczności integracji tego systemu wewnątrz maszyny</w:t>
            </w:r>
            <w:r w:rsidR="00CD6836" w:rsidRPr="00CD6836">
              <w:rPr>
                <w:sz w:val="22"/>
                <w:szCs w:val="22"/>
              </w:rPr>
              <w:t xml:space="preserve">, pod warunkiem zapewnienia warunków procesowych jak w przypadku zintegrowanego systemu wewnątrz maszyny.  </w:t>
            </w:r>
          </w:p>
          <w:p w:rsidR="00CD6836" w:rsidRPr="00CD6836" w:rsidRDefault="00CD6836" w:rsidP="00CD683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36C83" w:rsidRPr="00CD6836" w:rsidRDefault="00C36C83" w:rsidP="00CD6836">
            <w:pPr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DC3455" w:rsidRDefault="00DC3455" w:rsidP="00CD6836">
      <w:pPr>
        <w:jc w:val="both"/>
        <w:rPr>
          <w:i/>
          <w:sz w:val="22"/>
          <w:szCs w:val="22"/>
        </w:rPr>
      </w:pPr>
      <w:r w:rsidRPr="00DC3455">
        <w:rPr>
          <w:i/>
          <w:sz w:val="22"/>
          <w:szCs w:val="22"/>
        </w:rPr>
        <w:lastRenderedPageBreak/>
        <w:t>Zamawiający wprowadza nowy obowiązujący wzór umowy.</w:t>
      </w:r>
    </w:p>
    <w:p w:rsidR="00DC3455" w:rsidRPr="00DC3455" w:rsidRDefault="00DC3455" w:rsidP="00CD6836">
      <w:pPr>
        <w:jc w:val="both"/>
        <w:rPr>
          <w:i/>
          <w:sz w:val="22"/>
          <w:szCs w:val="22"/>
        </w:rPr>
      </w:pPr>
      <w:r w:rsidRPr="00DC3455">
        <w:rPr>
          <w:i/>
          <w:sz w:val="22"/>
          <w:szCs w:val="22"/>
        </w:rPr>
        <w:t>Powyższe odpowiedzi i zmiany SWZ stanowią integralną część SWZ.</w:t>
      </w:r>
    </w:p>
    <w:sectPr w:rsidR="00DC3455" w:rsidRPr="00DC345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29E" w:rsidRDefault="002D629E">
      <w:r>
        <w:separator/>
      </w:r>
    </w:p>
  </w:endnote>
  <w:endnote w:type="continuationSeparator" w:id="0">
    <w:p w:rsidR="002D629E" w:rsidRDefault="002D6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F05A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29E" w:rsidRDefault="002D629E">
      <w:r>
        <w:separator/>
      </w:r>
    </w:p>
  </w:footnote>
  <w:footnote w:type="continuationSeparator" w:id="0">
    <w:p w:rsidR="002D629E" w:rsidRDefault="002D6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C83" w:rsidRDefault="00C36C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C83" w:rsidRDefault="00C36C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C83" w:rsidRDefault="00C36C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29E"/>
    <w:rsid w:val="00031374"/>
    <w:rsid w:val="000A1097"/>
    <w:rsid w:val="000E2A8F"/>
    <w:rsid w:val="0012774F"/>
    <w:rsid w:val="00144B7A"/>
    <w:rsid w:val="00180C6E"/>
    <w:rsid w:val="001B14D2"/>
    <w:rsid w:val="001D75AC"/>
    <w:rsid w:val="0029606A"/>
    <w:rsid w:val="002D629E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148BF"/>
    <w:rsid w:val="00A905AC"/>
    <w:rsid w:val="00BA6584"/>
    <w:rsid w:val="00BB55D0"/>
    <w:rsid w:val="00BE7BFD"/>
    <w:rsid w:val="00C36C83"/>
    <w:rsid w:val="00C370F2"/>
    <w:rsid w:val="00C44EEC"/>
    <w:rsid w:val="00CD6836"/>
    <w:rsid w:val="00CF05A0"/>
    <w:rsid w:val="00CF0649"/>
    <w:rsid w:val="00D22FFA"/>
    <w:rsid w:val="00D4086E"/>
    <w:rsid w:val="00D8461B"/>
    <w:rsid w:val="00D9049C"/>
    <w:rsid w:val="00D915F2"/>
    <w:rsid w:val="00DC3455"/>
    <w:rsid w:val="00DF32E8"/>
    <w:rsid w:val="00E21B49"/>
    <w:rsid w:val="00E2789F"/>
    <w:rsid w:val="00E70C77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7A8C44"/>
  <w15:chartTrackingRefBased/>
  <w15:docId w15:val="{8561BF9A-7BE6-488B-81EF-C46DAFA5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4</Pages>
  <Words>1521</Words>
  <Characters>10384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6</cp:revision>
  <cp:lastPrinted>2001-02-10T14:28:00Z</cp:lastPrinted>
  <dcterms:created xsi:type="dcterms:W3CDTF">2025-06-25T10:26:00Z</dcterms:created>
  <dcterms:modified xsi:type="dcterms:W3CDTF">2025-07-02T10:52:00Z</dcterms:modified>
</cp:coreProperties>
</file>