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481B3" w14:textId="413DEE8F" w:rsidR="008049F5" w:rsidRDefault="00326E1E">
      <w:pPr>
        <w:keepNext/>
        <w:spacing w:after="240" w:line="276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 xml:space="preserve">Załącznik nr </w:t>
      </w:r>
      <w:r w:rsidR="00F0148D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6</w:t>
      </w:r>
      <w:r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 xml:space="preserve"> do SWZ</w:t>
      </w:r>
    </w:p>
    <w:p w14:paraId="61607350" w14:textId="77777777" w:rsidR="008049F5" w:rsidRDefault="00326E1E">
      <w:pPr>
        <w:spacing w:before="240" w:after="480" w:line="254" w:lineRule="auto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Znak sprawy: 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PCUW.261.2.24.2025</w:t>
      </w:r>
    </w:p>
    <w:tbl>
      <w:tblPr>
        <w:tblStyle w:val="Tabela-Siatka5"/>
        <w:tblW w:w="9933" w:type="dxa"/>
        <w:tblLayout w:type="fixed"/>
        <w:tblLook w:val="04A0" w:firstRow="1" w:lastRow="0" w:firstColumn="1" w:lastColumn="0" w:noHBand="0" w:noVBand="1"/>
      </w:tblPr>
      <w:tblGrid>
        <w:gridCol w:w="9933"/>
      </w:tblGrid>
      <w:tr w:rsidR="008049F5" w14:paraId="1A413117" w14:textId="77777777" w:rsidTr="00326E1E">
        <w:trPr>
          <w:trHeight w:val="507"/>
        </w:trPr>
        <w:tc>
          <w:tcPr>
            <w:tcW w:w="9933" w:type="dxa"/>
            <w:shd w:val="clear" w:color="auto" w:fill="F2F2F2"/>
            <w:vAlign w:val="center"/>
          </w:tcPr>
          <w:p w14:paraId="4C34A23F" w14:textId="77777777" w:rsidR="008049F5" w:rsidRDefault="00326E1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</w:rPr>
              <w:t>OPIS PRZEDMIOTU ZAMÓWIENIA</w:t>
            </w:r>
          </w:p>
        </w:tc>
      </w:tr>
    </w:tbl>
    <w:p w14:paraId="52050FE7" w14:textId="77777777" w:rsidR="008049F5" w:rsidRDefault="008049F5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</w:p>
    <w:p w14:paraId="273FF4E0" w14:textId="77777777" w:rsidR="008049F5" w:rsidRDefault="00326E1E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OPIS TECHNICZNY</w:t>
      </w:r>
    </w:p>
    <w:p w14:paraId="5BA1F4B0" w14:textId="77777777" w:rsidR="008049F5" w:rsidRDefault="008049F5">
      <w:pPr>
        <w:pStyle w:val="Default"/>
      </w:pPr>
    </w:p>
    <w:p w14:paraId="6F34F06E" w14:textId="77777777" w:rsidR="008049F5" w:rsidRDefault="00326E1E">
      <w:pPr>
        <w:pStyle w:val="Default"/>
        <w:numPr>
          <w:ilvl w:val="0"/>
          <w:numId w:val="1"/>
        </w:numPr>
        <w:spacing w:after="26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Remonter</w:t>
      </w:r>
      <w:proofErr w:type="spellEnd"/>
      <w:r>
        <w:rPr>
          <w:rFonts w:ascii="Times New Roman" w:hAnsi="Times New Roman" w:cs="Times New Roman"/>
        </w:rPr>
        <w:t xml:space="preserve"> fabrycznie nowy, rok produkcji 2025. </w:t>
      </w:r>
    </w:p>
    <w:p w14:paraId="5CF8ACC3" w14:textId="77777777" w:rsidR="008049F5" w:rsidRDefault="00326E1E">
      <w:pPr>
        <w:pStyle w:val="Default"/>
        <w:numPr>
          <w:ilvl w:val="0"/>
          <w:numId w:val="1"/>
        </w:numPr>
        <w:spacing w:after="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Silnik </w:t>
      </w:r>
      <w:r>
        <w:rPr>
          <w:rFonts w:ascii="Times New Roman" w:hAnsi="Times New Roman" w:cs="Times New Roman"/>
        </w:rPr>
        <w:t xml:space="preserve">wysokoprężny o mocy co najmniej </w:t>
      </w:r>
      <w:r>
        <w:rPr>
          <w:rFonts w:ascii="Times New Roman" w:hAnsi="Times New Roman" w:cs="Times New Roman"/>
          <w:bCs/>
        </w:rPr>
        <w:t xml:space="preserve">46 KM </w:t>
      </w:r>
      <w:r>
        <w:rPr>
          <w:rFonts w:ascii="Times New Roman" w:hAnsi="Times New Roman" w:cs="Times New Roman"/>
        </w:rPr>
        <w:t xml:space="preserve">chłodzony cieczą, napędzający dmuchawę, pompy hydrauliczne podawania emulsji i podawania grysu. </w:t>
      </w:r>
    </w:p>
    <w:p w14:paraId="4B0897F8" w14:textId="77777777" w:rsidR="008049F5" w:rsidRDefault="00326E1E">
      <w:pPr>
        <w:pStyle w:val="Default"/>
        <w:numPr>
          <w:ilvl w:val="0"/>
          <w:numId w:val="1"/>
        </w:numPr>
        <w:spacing w:after="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Zasobnik na kruszywo dwukomorowy </w:t>
      </w:r>
      <w:r>
        <w:rPr>
          <w:rFonts w:ascii="Times New Roman" w:hAnsi="Times New Roman" w:cs="Times New Roman"/>
        </w:rPr>
        <w:t xml:space="preserve">o pojemności całkowitej co najmniej </w:t>
      </w:r>
      <w:r>
        <w:rPr>
          <w:rFonts w:ascii="Times New Roman" w:hAnsi="Times New Roman" w:cs="Times New Roman"/>
          <w:bCs/>
        </w:rPr>
        <w:t>5 m3 .</w:t>
      </w:r>
    </w:p>
    <w:p w14:paraId="23BAEAD9" w14:textId="77777777" w:rsidR="008049F5" w:rsidRDefault="00326E1E">
      <w:pPr>
        <w:pStyle w:val="Default"/>
        <w:numPr>
          <w:ilvl w:val="0"/>
          <w:numId w:val="1"/>
        </w:numPr>
        <w:spacing w:after="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Stosunek podziału pojemności na komory: </w:t>
      </w:r>
      <w:r>
        <w:rPr>
          <w:rFonts w:ascii="Times New Roman" w:hAnsi="Times New Roman" w:cs="Times New Roman"/>
          <w:bCs/>
        </w:rPr>
        <w:t xml:space="preserve">1/2 do 1/2. </w:t>
      </w:r>
    </w:p>
    <w:p w14:paraId="54D053EF" w14:textId="77777777" w:rsidR="008049F5" w:rsidRDefault="00326E1E">
      <w:pPr>
        <w:pStyle w:val="Default"/>
        <w:numPr>
          <w:ilvl w:val="0"/>
          <w:numId w:val="1"/>
        </w:numPr>
        <w:spacing w:after="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Podawanie kruszywa podajnikami ślimakowymi z bezstopniowo regulowaną prędkością. </w:t>
      </w:r>
    </w:p>
    <w:p w14:paraId="5730CE24" w14:textId="77777777" w:rsidR="008049F5" w:rsidRDefault="00326E1E">
      <w:pPr>
        <w:pStyle w:val="Default"/>
        <w:numPr>
          <w:ilvl w:val="0"/>
          <w:numId w:val="1"/>
        </w:numPr>
        <w:spacing w:after="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Zbiornik na emulsję </w:t>
      </w:r>
      <w:r>
        <w:rPr>
          <w:rFonts w:ascii="Times New Roman" w:hAnsi="Times New Roman" w:cs="Times New Roman"/>
        </w:rPr>
        <w:t xml:space="preserve">o pojemności co najmniej </w:t>
      </w:r>
      <w:r>
        <w:rPr>
          <w:rFonts w:ascii="Times New Roman" w:hAnsi="Times New Roman" w:cs="Times New Roman"/>
          <w:bCs/>
        </w:rPr>
        <w:t>1500 litrów</w:t>
      </w:r>
      <w:r>
        <w:rPr>
          <w:rFonts w:ascii="Times New Roman" w:hAnsi="Times New Roman" w:cs="Times New Roman"/>
        </w:rPr>
        <w:t xml:space="preserve">, izolowany, wyposażony we wskaźniki poziomu emulsji oraz temperatury emulsji. </w:t>
      </w:r>
    </w:p>
    <w:p w14:paraId="06611E83" w14:textId="77777777" w:rsidR="008049F5" w:rsidRDefault="00326E1E">
      <w:pPr>
        <w:pStyle w:val="Default"/>
        <w:numPr>
          <w:ilvl w:val="0"/>
          <w:numId w:val="1"/>
        </w:numPr>
        <w:spacing w:after="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Ogrzewanie emulsji bezpiecznym palnikiem olejowym z zamkniętą komorą spalania sterowanym automatycznie z precyzyjną regulacją temperatury emulsji z dokładnością do 1 °C. </w:t>
      </w:r>
    </w:p>
    <w:p w14:paraId="56DC3C7D" w14:textId="77777777" w:rsidR="008049F5" w:rsidRDefault="00326E1E">
      <w:pPr>
        <w:pStyle w:val="Default"/>
        <w:numPr>
          <w:ilvl w:val="0"/>
          <w:numId w:val="1"/>
        </w:numPr>
        <w:spacing w:after="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Paliwo palnika: olej opałowy oraz olej napędowy,</w:t>
      </w:r>
    </w:p>
    <w:p w14:paraId="5A096A64" w14:textId="77777777" w:rsidR="008049F5" w:rsidRDefault="00326E1E">
      <w:pPr>
        <w:pStyle w:val="Default"/>
        <w:numPr>
          <w:ilvl w:val="0"/>
          <w:numId w:val="1"/>
        </w:numPr>
        <w:spacing w:after="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Automatyczne załączanie i wyłączanie palnika olejowego (termostat), możliwość grzania na postoju i podczas jazdy, możliwość grzania z zasilaniem z zewnętrznej sieci 230 V 50 </w:t>
      </w:r>
      <w:proofErr w:type="spellStart"/>
      <w:r>
        <w:rPr>
          <w:rFonts w:ascii="Times New Roman" w:hAnsi="Times New Roman" w:cs="Times New Roman"/>
        </w:rPr>
        <w:t>Hz</w:t>
      </w:r>
      <w:proofErr w:type="spellEnd"/>
      <w:r>
        <w:rPr>
          <w:rFonts w:ascii="Times New Roman" w:hAnsi="Times New Roman" w:cs="Times New Roman"/>
        </w:rPr>
        <w:t xml:space="preserve"> bez pracy silnika spalinowego. </w:t>
      </w:r>
    </w:p>
    <w:p w14:paraId="36435625" w14:textId="77777777" w:rsidR="008049F5" w:rsidRDefault="00326E1E">
      <w:pPr>
        <w:pStyle w:val="Default"/>
        <w:numPr>
          <w:ilvl w:val="0"/>
          <w:numId w:val="1"/>
        </w:numPr>
        <w:spacing w:after="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Dmuchawa </w:t>
      </w:r>
      <w:r>
        <w:rPr>
          <w:rFonts w:ascii="Times New Roman" w:hAnsi="Times New Roman" w:cs="Times New Roman"/>
        </w:rPr>
        <w:t xml:space="preserve">o wydajności regulowanej do co najmniej </w:t>
      </w:r>
      <w:r>
        <w:rPr>
          <w:rFonts w:ascii="Times New Roman" w:hAnsi="Times New Roman" w:cs="Times New Roman"/>
          <w:bCs/>
        </w:rPr>
        <w:t>10000 litrów/minutę</w:t>
      </w:r>
      <w:r>
        <w:rPr>
          <w:rFonts w:ascii="Times New Roman" w:hAnsi="Times New Roman" w:cs="Times New Roman"/>
        </w:rPr>
        <w:t xml:space="preserve">. </w:t>
      </w:r>
    </w:p>
    <w:p w14:paraId="504C9EC9" w14:textId="77777777" w:rsidR="008049F5" w:rsidRDefault="00326E1E">
      <w:pPr>
        <w:pStyle w:val="Default"/>
        <w:numPr>
          <w:ilvl w:val="0"/>
          <w:numId w:val="1"/>
        </w:numPr>
        <w:spacing w:after="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Pompa do emulsji </w:t>
      </w:r>
      <w:r>
        <w:rPr>
          <w:rFonts w:ascii="Times New Roman" w:hAnsi="Times New Roman" w:cs="Times New Roman"/>
        </w:rPr>
        <w:t xml:space="preserve">bitumicznej z napędem hydraulicznym, z płynnie regulowaną wydajnością, ogrzewana razem z emulsją. </w:t>
      </w:r>
    </w:p>
    <w:p w14:paraId="26745A97" w14:textId="77777777" w:rsidR="008049F5" w:rsidRDefault="00326E1E">
      <w:pPr>
        <w:pStyle w:val="Default"/>
        <w:numPr>
          <w:ilvl w:val="0"/>
          <w:numId w:val="1"/>
        </w:numPr>
        <w:spacing w:after="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Głowica robocza z dyszami mieszającymi, podająca emulsję bitumiczną i kruszywo w strumieniu powietrza z dmuchawy. </w:t>
      </w:r>
    </w:p>
    <w:p w14:paraId="58C416F7" w14:textId="77777777" w:rsidR="008049F5" w:rsidRDefault="00326E1E">
      <w:pPr>
        <w:pStyle w:val="Default"/>
        <w:numPr>
          <w:ilvl w:val="0"/>
          <w:numId w:val="1"/>
        </w:numPr>
        <w:spacing w:after="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Wysięgnik roboczy o zasięgu co najmniej 4 m zamontowany z tyłu pojazdu</w:t>
      </w:r>
      <w:r>
        <w:rPr>
          <w:rFonts w:ascii="Times New Roman" w:hAnsi="Times New Roman" w:cs="Times New Roman"/>
        </w:rPr>
        <w:t xml:space="preserve">, przegubowy i uchylny, z przewodami doprowadzającymi kruszywo i emulsję bitumiczną, z bezstopniową regulacją wysokości głowicy roboczej realizowaną siłownikiem pneumatycznym, z pulpitem sterującym, wysięgnik na czas przejazdów składany. </w:t>
      </w:r>
    </w:p>
    <w:p w14:paraId="75B1DFD6" w14:textId="77777777" w:rsidR="008049F5" w:rsidRDefault="00326E1E">
      <w:pPr>
        <w:pStyle w:val="Default"/>
        <w:numPr>
          <w:ilvl w:val="0"/>
          <w:numId w:val="1"/>
        </w:numPr>
        <w:spacing w:after="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System redukcji prędkości powietrza </w:t>
      </w:r>
      <w:r>
        <w:rPr>
          <w:rFonts w:ascii="Times New Roman" w:hAnsi="Times New Roman" w:cs="Times New Roman"/>
        </w:rPr>
        <w:t xml:space="preserve">z głowicy roboczej optymalizujący prędkość wbudowywania mieszanki emulsyjno-grysowej regulowany automatycznie za pomocą siłownika pneumatycznego. </w:t>
      </w:r>
    </w:p>
    <w:p w14:paraId="43E51A57" w14:textId="77777777" w:rsidR="008049F5" w:rsidRDefault="00326E1E">
      <w:pPr>
        <w:pStyle w:val="Default"/>
        <w:numPr>
          <w:ilvl w:val="0"/>
          <w:numId w:val="1"/>
        </w:numPr>
        <w:spacing w:after="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Pulpit sterujący </w:t>
      </w:r>
      <w:r>
        <w:rPr>
          <w:rFonts w:ascii="Times New Roman" w:hAnsi="Times New Roman" w:cs="Times New Roman"/>
        </w:rPr>
        <w:t xml:space="preserve">umiejscowiony </w:t>
      </w:r>
      <w:r>
        <w:rPr>
          <w:rFonts w:ascii="Times New Roman" w:hAnsi="Times New Roman" w:cs="Times New Roman"/>
          <w:bCs/>
        </w:rPr>
        <w:t xml:space="preserve">na stanowisku operatora </w:t>
      </w:r>
      <w:r>
        <w:rPr>
          <w:rFonts w:ascii="Times New Roman" w:hAnsi="Times New Roman" w:cs="Times New Roman"/>
        </w:rPr>
        <w:t xml:space="preserve">na wysięgniku przy głowicy roboczej, wyposażony w funkcje i wskaźniki zwiększające bezpieczeństwo pracy, w tym w: sterowanie podajnikami grysu, sterowanie pompą emulsji, stacyjka i kontrolki silnika spalinowego, regulacja obrotów silnika spalinowego, regulacja wysokości głowicy roboczej, sygnał dźwiękowy dla kierowcy, wskaźnik paliwa silnika, wskaźnik poziomu emulsji. Nieodpuszczalne jest rozdzielenie tych funkcji w różnych miejscach </w:t>
      </w:r>
      <w:proofErr w:type="spellStart"/>
      <w:r>
        <w:rPr>
          <w:rFonts w:ascii="Times New Roman" w:hAnsi="Times New Roman" w:cs="Times New Roman"/>
        </w:rPr>
        <w:t>remontera</w:t>
      </w:r>
      <w:proofErr w:type="spellEnd"/>
      <w:r>
        <w:rPr>
          <w:rFonts w:ascii="Times New Roman" w:hAnsi="Times New Roman" w:cs="Times New Roman"/>
        </w:rPr>
        <w:t xml:space="preserve">. </w:t>
      </w:r>
    </w:p>
    <w:p w14:paraId="47305059" w14:textId="77777777" w:rsidR="008049F5" w:rsidRDefault="00326E1E">
      <w:pPr>
        <w:pStyle w:val="Default"/>
        <w:numPr>
          <w:ilvl w:val="0"/>
          <w:numId w:val="1"/>
        </w:numPr>
        <w:spacing w:after="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Sygnalizacja stopnia zanieczyszczenia filtra emulsji na pulpicie sterującym. </w:t>
      </w:r>
    </w:p>
    <w:p w14:paraId="238750E2" w14:textId="77777777" w:rsidR="008049F5" w:rsidRDefault="00326E1E">
      <w:pPr>
        <w:pStyle w:val="Default"/>
        <w:numPr>
          <w:ilvl w:val="0"/>
          <w:numId w:val="1"/>
        </w:numPr>
        <w:spacing w:after="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Pomarańczowa ostrzegawcza lampa błyskowa </w:t>
      </w:r>
      <w:r>
        <w:rPr>
          <w:rFonts w:ascii="Times New Roman" w:hAnsi="Times New Roman" w:cs="Times New Roman"/>
        </w:rPr>
        <w:t xml:space="preserve">(tzw. „kogut”) zamontowana u góry </w:t>
      </w:r>
      <w:proofErr w:type="spellStart"/>
      <w:r>
        <w:rPr>
          <w:rFonts w:ascii="Times New Roman" w:hAnsi="Times New Roman" w:cs="Times New Roman"/>
        </w:rPr>
        <w:t>remontera</w:t>
      </w:r>
      <w:proofErr w:type="spellEnd"/>
      <w:r>
        <w:rPr>
          <w:rFonts w:ascii="Times New Roman" w:hAnsi="Times New Roman" w:cs="Times New Roman"/>
        </w:rPr>
        <w:t xml:space="preserve">. </w:t>
      </w:r>
    </w:p>
    <w:p w14:paraId="1936ACD2" w14:textId="77777777" w:rsidR="008049F5" w:rsidRDefault="00326E1E">
      <w:pPr>
        <w:pStyle w:val="Default"/>
        <w:numPr>
          <w:ilvl w:val="0"/>
          <w:numId w:val="1"/>
        </w:numPr>
        <w:spacing w:after="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lastRenderedPageBreak/>
        <w:t xml:space="preserve">Pomarańczowa strzała świetlna LED </w:t>
      </w:r>
      <w:r>
        <w:rPr>
          <w:rFonts w:ascii="Times New Roman" w:hAnsi="Times New Roman" w:cs="Times New Roman"/>
        </w:rPr>
        <w:t xml:space="preserve">zamontowana z tyłu </w:t>
      </w:r>
      <w:proofErr w:type="spellStart"/>
      <w:r>
        <w:rPr>
          <w:rFonts w:ascii="Times New Roman" w:hAnsi="Times New Roman" w:cs="Times New Roman"/>
        </w:rPr>
        <w:t>remontera</w:t>
      </w:r>
      <w:proofErr w:type="spellEnd"/>
      <w:r>
        <w:rPr>
          <w:rFonts w:ascii="Times New Roman" w:hAnsi="Times New Roman" w:cs="Times New Roman"/>
        </w:rPr>
        <w:t xml:space="preserve"> sterowana z pilota bezprzewodowego z możliwością pulsacyjnej sygnalizacji „strzała w lewo / „krzyż” / „strzała w prawo”. </w:t>
      </w:r>
    </w:p>
    <w:p w14:paraId="6190A909" w14:textId="77777777" w:rsidR="008049F5" w:rsidRDefault="00326E1E">
      <w:pPr>
        <w:pStyle w:val="Default"/>
        <w:numPr>
          <w:ilvl w:val="0"/>
          <w:numId w:val="1"/>
        </w:numPr>
        <w:spacing w:after="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Podwozie holowane traktorowe 2-osiowe typu tandem</w:t>
      </w:r>
      <w:r>
        <w:rPr>
          <w:rFonts w:ascii="Times New Roman" w:hAnsi="Times New Roman" w:cs="Times New Roman"/>
        </w:rPr>
        <w:t xml:space="preserve">, oświetlenie i inne cechy zgodne z Prawem o Ruchu Drogowym, dopuszczone do ruchu po drogach publicznych. </w:t>
      </w:r>
    </w:p>
    <w:p w14:paraId="05B1B9AE" w14:textId="77777777" w:rsidR="008049F5" w:rsidRDefault="00326E1E">
      <w:pPr>
        <w:pStyle w:val="Default"/>
        <w:numPr>
          <w:ilvl w:val="0"/>
          <w:numId w:val="1"/>
        </w:numPr>
        <w:spacing w:after="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Wszystkie elementy stalowe zabezpieczone antykorozyjnie galwanicznie poprzez cynkowanie albo profesjonalnie malowane w malarni proszkowej lub natryskowo w </w:t>
      </w:r>
      <w:proofErr w:type="spellStart"/>
      <w:r>
        <w:rPr>
          <w:rFonts w:ascii="Times New Roman" w:hAnsi="Times New Roman" w:cs="Times New Roman"/>
        </w:rPr>
        <w:t>kabinosuszarce</w:t>
      </w:r>
      <w:proofErr w:type="spellEnd"/>
      <w:r>
        <w:rPr>
          <w:rFonts w:ascii="Times New Roman" w:hAnsi="Times New Roman" w:cs="Times New Roman"/>
        </w:rPr>
        <w:t xml:space="preserve"> po uprzednim śrutowaniu. </w:t>
      </w:r>
    </w:p>
    <w:p w14:paraId="0E2D01E9" w14:textId="77777777" w:rsidR="008049F5" w:rsidRDefault="00326E1E">
      <w:pPr>
        <w:pStyle w:val="Default"/>
        <w:numPr>
          <w:ilvl w:val="0"/>
          <w:numId w:val="1"/>
        </w:numPr>
        <w:spacing w:after="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Dostawa </w:t>
      </w:r>
      <w:proofErr w:type="spellStart"/>
      <w:r>
        <w:rPr>
          <w:rFonts w:ascii="Times New Roman" w:hAnsi="Times New Roman" w:cs="Times New Roman"/>
          <w:bCs/>
        </w:rPr>
        <w:t>remontera</w:t>
      </w:r>
      <w:proofErr w:type="spellEnd"/>
      <w:r>
        <w:rPr>
          <w:rFonts w:ascii="Times New Roman" w:hAnsi="Times New Roman" w:cs="Times New Roman"/>
          <w:bCs/>
        </w:rPr>
        <w:t xml:space="preserve"> do siedziby Jednostki realizującej</w:t>
      </w:r>
      <w:r>
        <w:rPr>
          <w:rFonts w:ascii="Times New Roman" w:hAnsi="Times New Roman" w:cs="Times New Roman"/>
        </w:rPr>
        <w:t xml:space="preserve">. </w:t>
      </w:r>
    </w:p>
    <w:p w14:paraId="6FAEF5DF" w14:textId="77777777" w:rsidR="008049F5" w:rsidRDefault="00326E1E">
      <w:pPr>
        <w:spacing w:after="0" w:line="240" w:lineRule="auto"/>
        <w:textAlignment w:val="baseline"/>
        <w:rPr>
          <w:rFonts w:ascii="Liberation Serif" w:eastAsia="NSimSun" w:hAnsi="Liberation Serif" w:cs="Arial" w:hint="eastAsia"/>
          <w:color w:val="FF0000"/>
          <w:sz w:val="24"/>
          <w:szCs w:val="24"/>
          <w:lang w:eastAsia="zh-CN" w:bidi="hi-IN"/>
          <w14:ligatures w14:val="none"/>
        </w:rPr>
      </w:pPr>
      <w:r>
        <w:t xml:space="preserve"> </w:t>
      </w:r>
    </w:p>
    <w:sectPr w:rsidR="008049F5" w:rsidSect="00424A26">
      <w:footerReference w:type="default" r:id="rId8"/>
      <w:pgSz w:w="11906" w:h="16838"/>
      <w:pgMar w:top="1417" w:right="1417" w:bottom="1417" w:left="1417" w:header="708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613376" w14:textId="77777777" w:rsidR="00326E1E" w:rsidRDefault="00326E1E">
      <w:pPr>
        <w:spacing w:after="0" w:line="240" w:lineRule="auto"/>
      </w:pPr>
      <w:r>
        <w:separator/>
      </w:r>
    </w:p>
  </w:endnote>
  <w:endnote w:type="continuationSeparator" w:id="0">
    <w:p w14:paraId="34590513" w14:textId="77777777" w:rsidR="00326E1E" w:rsidRDefault="00326E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</w:rPr>
      <w:id w:val="-836313033"/>
      <w:docPartObj>
        <w:docPartGallery w:val="Page Numbers (Bottom of Page)"/>
        <w:docPartUnique/>
      </w:docPartObj>
    </w:sdtPr>
    <w:sdtContent>
      <w:p w14:paraId="5740A7A6" w14:textId="5C7FC2C3" w:rsidR="00EE333F" w:rsidRPr="00EE333F" w:rsidRDefault="00EE333F">
        <w:pPr>
          <w:pStyle w:val="Stopka"/>
          <w:jc w:val="right"/>
          <w:rPr>
            <w:rFonts w:ascii="Times New Roman" w:hAnsi="Times New Roman" w:cs="Times New Roman"/>
          </w:rPr>
        </w:pPr>
        <w:r w:rsidRPr="00EE333F">
          <w:rPr>
            <w:rFonts w:ascii="Times New Roman" w:hAnsi="Times New Roman" w:cs="Times New Roman"/>
          </w:rPr>
          <w:fldChar w:fldCharType="begin"/>
        </w:r>
        <w:r w:rsidRPr="00EE333F">
          <w:rPr>
            <w:rFonts w:ascii="Times New Roman" w:hAnsi="Times New Roman" w:cs="Times New Roman"/>
          </w:rPr>
          <w:instrText>PAGE   \* MERGEFORMAT</w:instrText>
        </w:r>
        <w:r w:rsidRPr="00EE333F">
          <w:rPr>
            <w:rFonts w:ascii="Times New Roman" w:hAnsi="Times New Roman" w:cs="Times New Roman"/>
          </w:rPr>
          <w:fldChar w:fldCharType="separate"/>
        </w:r>
        <w:r w:rsidRPr="00EE333F">
          <w:rPr>
            <w:rFonts w:ascii="Times New Roman" w:hAnsi="Times New Roman" w:cs="Times New Roman"/>
          </w:rPr>
          <w:t>2</w:t>
        </w:r>
        <w:r w:rsidRPr="00EE333F">
          <w:rPr>
            <w:rFonts w:ascii="Times New Roman" w:hAnsi="Times New Roman" w:cs="Times New Roman"/>
          </w:rPr>
          <w:fldChar w:fldCharType="end"/>
        </w:r>
      </w:p>
    </w:sdtContent>
  </w:sdt>
  <w:p w14:paraId="4F4F4BFD" w14:textId="77777777" w:rsidR="00EE333F" w:rsidRDefault="00EE33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7DA6DF" w14:textId="77777777" w:rsidR="00326E1E" w:rsidRDefault="00326E1E">
      <w:pPr>
        <w:spacing w:after="0" w:line="240" w:lineRule="auto"/>
      </w:pPr>
      <w:r>
        <w:separator/>
      </w:r>
    </w:p>
  </w:footnote>
  <w:footnote w:type="continuationSeparator" w:id="0">
    <w:p w14:paraId="409DE82D" w14:textId="77777777" w:rsidR="00326E1E" w:rsidRDefault="00326E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18440D"/>
    <w:multiLevelType w:val="multilevel"/>
    <w:tmpl w:val="C7B287A6"/>
    <w:lvl w:ilvl="0">
      <w:start w:val="6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eastAsiaTheme="minorHAnsi" w:hAnsi="Calibri" w:cs="Calibr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4F8D0C04"/>
    <w:multiLevelType w:val="multilevel"/>
    <w:tmpl w:val="6C208E3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658535120">
    <w:abstractNumId w:val="0"/>
  </w:num>
  <w:num w:numId="2" w16cid:durableId="13236631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49F5"/>
    <w:rsid w:val="0032397C"/>
    <w:rsid w:val="00326E1E"/>
    <w:rsid w:val="00424A26"/>
    <w:rsid w:val="008049F5"/>
    <w:rsid w:val="00C14B27"/>
    <w:rsid w:val="00E67070"/>
    <w:rsid w:val="00EE333F"/>
    <w:rsid w:val="00F01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8FF27"/>
  <w15:docId w15:val="{30D5C1AF-76D7-4829-869D-48561C4AB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9E25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25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E257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E25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E257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E25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E25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E25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E25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9E257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9E25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9E257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9E257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9E257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9E257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9E257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9E257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9E2570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qFormat/>
    <w:rsid w:val="009E2570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9E25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link w:val="Cytat"/>
    <w:uiPriority w:val="29"/>
    <w:qFormat/>
    <w:rsid w:val="009E2570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9E2570"/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9E257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E2570"/>
    <w:rPr>
      <w:b/>
      <w:bCs/>
      <w:smallCaps/>
      <w:color w:val="2F5496" w:themeColor="accent1" w:themeShade="BF"/>
      <w:spacing w:val="5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9E2570"/>
  </w:style>
  <w:style w:type="character" w:customStyle="1" w:styleId="StopkaZnak">
    <w:name w:val="Stopka Znak"/>
    <w:basedOn w:val="Domylnaczcionkaakapitu"/>
    <w:link w:val="Stopka"/>
    <w:uiPriority w:val="99"/>
    <w:qFormat/>
    <w:rsid w:val="009E2570"/>
  </w:style>
  <w:style w:type="paragraph" w:styleId="Nagwek">
    <w:name w:val="header"/>
    <w:basedOn w:val="Normalny"/>
    <w:next w:val="Tekstpodstawowy"/>
    <w:link w:val="NagwekZnak"/>
    <w:uiPriority w:val="99"/>
    <w:unhideWhenUsed/>
    <w:rsid w:val="009E2570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link w:val="TytuZnak"/>
    <w:uiPriority w:val="10"/>
    <w:qFormat/>
    <w:rsid w:val="009E25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E25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E2570"/>
    <w:pPr>
      <w:spacing w:before="160"/>
      <w:jc w:val="center"/>
    </w:pPr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E2570"/>
    <w:pPr>
      <w:ind w:left="720"/>
      <w:contextualSpacing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E25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9E2570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Default">
    <w:name w:val="Default"/>
    <w:qFormat/>
    <w:rPr>
      <w:rFonts w:ascii="Century Gothic" w:eastAsia="Calibri" w:hAnsi="Century Gothic" w:cs="Century Gothic"/>
      <w:color w:val="000000"/>
      <w:sz w:val="24"/>
      <w:szCs w:val="24"/>
    </w:rPr>
  </w:style>
  <w:style w:type="table" w:customStyle="1" w:styleId="Tabela-Siatka5">
    <w:name w:val="Tabela - Siatka5"/>
    <w:basedOn w:val="Standardowy"/>
    <w:uiPriority w:val="39"/>
    <w:rsid w:val="009E2570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9E25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636530-20EF-42A4-9416-04A8B42DD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446</Words>
  <Characters>2677</Characters>
  <Application>Microsoft Office Word</Application>
  <DocSecurity>0</DocSecurity>
  <Lines>22</Lines>
  <Paragraphs>6</Paragraphs>
  <ScaleCrop>false</ScaleCrop>
  <Company/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dc:description/>
  <cp:lastModifiedBy>Kamila Cichańska-Wrąbel</cp:lastModifiedBy>
  <cp:revision>24</cp:revision>
  <dcterms:created xsi:type="dcterms:W3CDTF">2025-03-13T12:30:00Z</dcterms:created>
  <dcterms:modified xsi:type="dcterms:W3CDTF">2025-06-02T08:21:00Z</dcterms:modified>
  <dc:language>pl-PL</dc:language>
</cp:coreProperties>
</file>