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35F20" w14:textId="7276AB7D" w:rsidR="0029606A" w:rsidRPr="003C00BB" w:rsidRDefault="00B53EBD" w:rsidP="003C00BB">
      <w:pPr>
        <w:spacing w:after="240"/>
        <w:jc w:val="right"/>
        <w:rPr>
          <w:sz w:val="24"/>
          <w:szCs w:val="24"/>
        </w:rPr>
      </w:pPr>
      <w:r w:rsidRPr="003C00BB">
        <w:rPr>
          <w:sz w:val="24"/>
          <w:szCs w:val="24"/>
        </w:rPr>
        <w:t>Kraków</w:t>
      </w:r>
      <w:r w:rsidR="006A5DF1" w:rsidRPr="003C00BB">
        <w:rPr>
          <w:sz w:val="24"/>
          <w:szCs w:val="24"/>
        </w:rPr>
        <w:t xml:space="preserve"> dnia: </w:t>
      </w:r>
      <w:r w:rsidRPr="003C00BB">
        <w:rPr>
          <w:sz w:val="24"/>
          <w:szCs w:val="24"/>
        </w:rPr>
        <w:t>2025-04-0</w:t>
      </w:r>
      <w:r w:rsidR="003C00BB">
        <w:rPr>
          <w:sz w:val="24"/>
          <w:szCs w:val="24"/>
        </w:rPr>
        <w:t>4</w:t>
      </w:r>
    </w:p>
    <w:p w14:paraId="0424FB5C" w14:textId="77777777" w:rsidR="006A5DF1" w:rsidRPr="003C00BB" w:rsidRDefault="00BE62A3" w:rsidP="006A5DF1">
      <w:pPr>
        <w:rPr>
          <w:b/>
          <w:bCs/>
          <w:sz w:val="24"/>
          <w:szCs w:val="24"/>
        </w:rPr>
      </w:pPr>
      <w:r w:rsidRPr="003C00BB">
        <w:rPr>
          <w:b/>
          <w:bCs/>
          <w:sz w:val="24"/>
          <w:szCs w:val="24"/>
        </w:rPr>
        <w:t xml:space="preserve">Szpital Miejski Specjalistyczny </w:t>
      </w:r>
    </w:p>
    <w:p w14:paraId="19CBBCC2" w14:textId="77777777" w:rsidR="00BE62A3" w:rsidRPr="003C00BB" w:rsidRDefault="00BE62A3" w:rsidP="006A5DF1">
      <w:pPr>
        <w:rPr>
          <w:sz w:val="24"/>
          <w:szCs w:val="24"/>
        </w:rPr>
      </w:pPr>
      <w:r w:rsidRPr="003C00BB">
        <w:rPr>
          <w:b/>
          <w:bCs/>
          <w:sz w:val="24"/>
          <w:szCs w:val="24"/>
        </w:rPr>
        <w:t>im. Gabriela Narutowicza w Krakowie</w:t>
      </w:r>
    </w:p>
    <w:p w14:paraId="38152B21" w14:textId="77777777" w:rsidR="006A5DF1" w:rsidRPr="003C00BB" w:rsidRDefault="00BE62A3" w:rsidP="006A5DF1">
      <w:pPr>
        <w:pStyle w:val="Nagwek"/>
        <w:tabs>
          <w:tab w:val="clear" w:pos="4536"/>
          <w:tab w:val="clear" w:pos="9072"/>
        </w:tabs>
        <w:rPr>
          <w:sz w:val="24"/>
          <w:szCs w:val="24"/>
        </w:rPr>
      </w:pPr>
      <w:r w:rsidRPr="003C00BB">
        <w:rPr>
          <w:sz w:val="24"/>
          <w:szCs w:val="24"/>
        </w:rPr>
        <w:t>ul. Prądnicka 35-37</w:t>
      </w:r>
    </w:p>
    <w:p w14:paraId="41849AE4" w14:textId="78561F68" w:rsidR="006D4AB3" w:rsidRPr="003C00BB" w:rsidRDefault="00BE62A3">
      <w:pPr>
        <w:pStyle w:val="Nagwek"/>
        <w:tabs>
          <w:tab w:val="clear" w:pos="4536"/>
          <w:tab w:val="clear" w:pos="9072"/>
        </w:tabs>
        <w:rPr>
          <w:sz w:val="24"/>
          <w:szCs w:val="24"/>
        </w:rPr>
      </w:pPr>
      <w:r w:rsidRPr="003C00BB">
        <w:rPr>
          <w:sz w:val="24"/>
          <w:szCs w:val="24"/>
        </w:rPr>
        <w:t>31-202 Kraków</w:t>
      </w:r>
    </w:p>
    <w:p w14:paraId="173703DB" w14:textId="26DA45D5" w:rsidR="00632C3C" w:rsidRPr="003C00BB" w:rsidRDefault="00E21B49" w:rsidP="0029606A">
      <w:pPr>
        <w:pStyle w:val="Nagwek1"/>
        <w:spacing w:after="480" w:line="276" w:lineRule="auto"/>
        <w:jc w:val="center"/>
        <w:rPr>
          <w:rFonts w:ascii="Times New Roman" w:hAnsi="Times New Roman"/>
          <w:szCs w:val="28"/>
        </w:rPr>
      </w:pPr>
      <w:r w:rsidRPr="003C00BB">
        <w:rPr>
          <w:rFonts w:ascii="Times New Roman" w:hAnsi="Times New Roman"/>
          <w:szCs w:val="28"/>
        </w:rPr>
        <w:t>WYJAŚNIENI</w:t>
      </w:r>
      <w:r w:rsidR="00520165" w:rsidRPr="003C00BB">
        <w:rPr>
          <w:rFonts w:ascii="Times New Roman" w:hAnsi="Times New Roman"/>
          <w:szCs w:val="28"/>
        </w:rPr>
        <w:t>A</w:t>
      </w:r>
      <w:r w:rsidR="00632C3C" w:rsidRPr="003C00BB">
        <w:rPr>
          <w:rFonts w:ascii="Times New Roman" w:hAnsi="Times New Roman"/>
          <w:szCs w:val="28"/>
        </w:rPr>
        <w:t xml:space="preserve"> TREŚCI</w:t>
      </w:r>
      <w:r w:rsidR="0029606A" w:rsidRPr="003C00BB">
        <w:rPr>
          <w:rFonts w:ascii="Times New Roman" w:hAnsi="Times New Roman"/>
          <w:szCs w:val="28"/>
        </w:rPr>
        <w:t xml:space="preserve"> SWZ</w:t>
      </w:r>
      <w:r w:rsidR="003C00BB">
        <w:rPr>
          <w:rFonts w:ascii="Times New Roman" w:hAnsi="Times New Roman"/>
          <w:szCs w:val="28"/>
        </w:rPr>
        <w:t xml:space="preserve"> - 6</w:t>
      </w:r>
    </w:p>
    <w:p w14:paraId="349BB908" w14:textId="6BC4B18F" w:rsidR="006D4AB3" w:rsidRPr="003C00BB" w:rsidRDefault="00632C3C" w:rsidP="00520165">
      <w:pPr>
        <w:spacing w:after="360" w:line="276" w:lineRule="auto"/>
        <w:jc w:val="both"/>
        <w:rPr>
          <w:sz w:val="24"/>
          <w:szCs w:val="24"/>
        </w:rPr>
      </w:pPr>
      <w:r w:rsidRPr="003C00BB">
        <w:rPr>
          <w:sz w:val="24"/>
          <w:szCs w:val="24"/>
        </w:rPr>
        <w:t xml:space="preserve">Dotyczy: </w:t>
      </w:r>
      <w:r w:rsidR="006A5DF1" w:rsidRPr="003C00BB">
        <w:rPr>
          <w:sz w:val="24"/>
          <w:szCs w:val="24"/>
        </w:rPr>
        <w:t>p</w:t>
      </w:r>
      <w:r w:rsidRPr="003C00BB">
        <w:rPr>
          <w:sz w:val="24"/>
          <w:szCs w:val="24"/>
        </w:rPr>
        <w:t>ostępowani</w:t>
      </w:r>
      <w:r w:rsidR="006A5DF1" w:rsidRPr="003C00BB">
        <w:rPr>
          <w:sz w:val="24"/>
          <w:szCs w:val="24"/>
        </w:rPr>
        <w:t>a</w:t>
      </w:r>
      <w:r w:rsidRPr="003C00BB">
        <w:rPr>
          <w:sz w:val="24"/>
          <w:szCs w:val="24"/>
        </w:rPr>
        <w:t xml:space="preserve"> o udzielenie zamówienia publicznego, prowadzone</w:t>
      </w:r>
      <w:r w:rsidR="006A5DF1" w:rsidRPr="003C00BB">
        <w:rPr>
          <w:sz w:val="24"/>
          <w:szCs w:val="24"/>
        </w:rPr>
        <w:t>go</w:t>
      </w:r>
      <w:r w:rsidRPr="003C00BB">
        <w:rPr>
          <w:sz w:val="24"/>
          <w:szCs w:val="24"/>
        </w:rPr>
        <w:t xml:space="preserve"> w</w:t>
      </w:r>
      <w:r w:rsidR="00BE62A3" w:rsidRPr="003C00BB">
        <w:rPr>
          <w:sz w:val="24"/>
          <w:szCs w:val="24"/>
        </w:rPr>
        <w:t> </w:t>
      </w:r>
      <w:r w:rsidRPr="003C00BB">
        <w:rPr>
          <w:sz w:val="24"/>
          <w:szCs w:val="24"/>
        </w:rPr>
        <w:t xml:space="preserve">trybie </w:t>
      </w:r>
      <w:r w:rsidR="00B53EBD" w:rsidRPr="003C00BB">
        <w:rPr>
          <w:sz w:val="24"/>
          <w:szCs w:val="24"/>
        </w:rPr>
        <w:t>przetarg</w:t>
      </w:r>
      <w:r w:rsidR="003C00BB">
        <w:rPr>
          <w:sz w:val="24"/>
          <w:szCs w:val="24"/>
        </w:rPr>
        <w:t>u</w:t>
      </w:r>
      <w:r w:rsidR="00B53EBD" w:rsidRPr="003C00BB">
        <w:rPr>
          <w:sz w:val="24"/>
          <w:szCs w:val="24"/>
        </w:rPr>
        <w:t xml:space="preserve"> nieograniczon</w:t>
      </w:r>
      <w:r w:rsidR="003C00BB">
        <w:rPr>
          <w:sz w:val="24"/>
          <w:szCs w:val="24"/>
        </w:rPr>
        <w:t xml:space="preserve">ego </w:t>
      </w:r>
      <w:r w:rsidR="00E72428" w:rsidRPr="003C00BB">
        <w:rPr>
          <w:bCs/>
          <w:sz w:val="24"/>
          <w:szCs w:val="24"/>
        </w:rPr>
        <w:t>”</w:t>
      </w:r>
      <w:r w:rsidR="00B53EBD" w:rsidRPr="003C00BB">
        <w:rPr>
          <w:b/>
          <w:bCs/>
          <w:i/>
          <w:iCs/>
          <w:sz w:val="24"/>
          <w:szCs w:val="24"/>
        </w:rPr>
        <w:t>Zakup i dostawa produktów farmaceutycznych I</w:t>
      </w:r>
      <w:r w:rsidR="00E72428" w:rsidRPr="003C00BB">
        <w:rPr>
          <w:bCs/>
          <w:sz w:val="24"/>
          <w:szCs w:val="24"/>
        </w:rPr>
        <w:t>”</w:t>
      </w:r>
      <w:r w:rsidRPr="003C00BB">
        <w:rPr>
          <w:b/>
          <w:sz w:val="24"/>
          <w:szCs w:val="24"/>
        </w:rPr>
        <w:t xml:space="preserve"> </w:t>
      </w:r>
      <w:r w:rsidRPr="003C00BB">
        <w:rPr>
          <w:bCs/>
          <w:sz w:val="24"/>
          <w:szCs w:val="24"/>
        </w:rPr>
        <w:t>– znak sprawy</w:t>
      </w:r>
      <w:r w:rsidRPr="003C00BB">
        <w:rPr>
          <w:b/>
          <w:sz w:val="24"/>
          <w:szCs w:val="24"/>
        </w:rPr>
        <w:t xml:space="preserve"> </w:t>
      </w:r>
      <w:r w:rsidR="00B53EBD" w:rsidRPr="003C00BB">
        <w:rPr>
          <w:b/>
          <w:sz w:val="24"/>
          <w:szCs w:val="24"/>
        </w:rPr>
        <w:t>ZP/15/2025</w:t>
      </w:r>
      <w:r w:rsidRPr="003C00BB">
        <w:rPr>
          <w:b/>
          <w:sz w:val="24"/>
          <w:szCs w:val="24"/>
        </w:rPr>
        <w:t>.</w:t>
      </w:r>
    </w:p>
    <w:p w14:paraId="551644E4" w14:textId="77777777" w:rsidR="0012774F" w:rsidRPr="003C00BB" w:rsidRDefault="00520165" w:rsidP="00D8461B">
      <w:pPr>
        <w:spacing w:after="240" w:line="276" w:lineRule="auto"/>
        <w:jc w:val="both"/>
      </w:pPr>
      <w:r w:rsidRPr="003C00BB">
        <w:rPr>
          <w:sz w:val="22"/>
          <w:szCs w:val="22"/>
        </w:rPr>
        <w:t xml:space="preserve">Zamawiający, działając na podstawie art. </w:t>
      </w:r>
      <w:r w:rsidR="0029606A" w:rsidRPr="003C00BB">
        <w:rPr>
          <w:sz w:val="22"/>
          <w:szCs w:val="22"/>
        </w:rPr>
        <w:t>1</w:t>
      </w:r>
      <w:r w:rsidRPr="003C00BB">
        <w:rPr>
          <w:sz w:val="22"/>
          <w:szCs w:val="22"/>
        </w:rPr>
        <w:t>3</w:t>
      </w:r>
      <w:r w:rsidR="0029606A" w:rsidRPr="003C00BB">
        <w:rPr>
          <w:sz w:val="22"/>
          <w:szCs w:val="22"/>
        </w:rPr>
        <w:t>5</w:t>
      </w:r>
      <w:r w:rsidRPr="003C00BB">
        <w:rPr>
          <w:sz w:val="22"/>
          <w:szCs w:val="22"/>
        </w:rPr>
        <w:t xml:space="preserve"> ust</w:t>
      </w:r>
      <w:r w:rsidR="00D9049C" w:rsidRPr="003C00BB">
        <w:rPr>
          <w:sz w:val="22"/>
          <w:szCs w:val="22"/>
        </w:rPr>
        <w:t xml:space="preserve">. </w:t>
      </w:r>
      <w:r w:rsidR="0029606A" w:rsidRPr="003C00BB">
        <w:rPr>
          <w:sz w:val="22"/>
          <w:szCs w:val="22"/>
        </w:rPr>
        <w:t>6</w:t>
      </w:r>
      <w:r w:rsidRPr="003C00BB">
        <w:rPr>
          <w:sz w:val="22"/>
          <w:szCs w:val="22"/>
        </w:rPr>
        <w:t xml:space="preserve"> ustawy z dnia </w:t>
      </w:r>
      <w:r w:rsidR="0029606A" w:rsidRPr="003C00BB">
        <w:rPr>
          <w:sz w:val="22"/>
          <w:szCs w:val="22"/>
        </w:rPr>
        <w:t>11</w:t>
      </w:r>
      <w:r w:rsidRPr="003C00BB">
        <w:rPr>
          <w:sz w:val="22"/>
          <w:szCs w:val="22"/>
        </w:rPr>
        <w:t xml:space="preserve"> </w:t>
      </w:r>
      <w:r w:rsidR="0029606A" w:rsidRPr="003C00BB">
        <w:rPr>
          <w:sz w:val="22"/>
          <w:szCs w:val="22"/>
        </w:rPr>
        <w:t xml:space="preserve">września </w:t>
      </w:r>
      <w:r w:rsidRPr="003C00BB">
        <w:rPr>
          <w:sz w:val="22"/>
          <w:szCs w:val="22"/>
        </w:rPr>
        <w:t>20</w:t>
      </w:r>
      <w:r w:rsidR="0029606A" w:rsidRPr="003C00BB">
        <w:rPr>
          <w:sz w:val="22"/>
          <w:szCs w:val="22"/>
        </w:rPr>
        <w:t>19</w:t>
      </w:r>
      <w:r w:rsidR="00BE62A3" w:rsidRPr="003C00BB">
        <w:rPr>
          <w:sz w:val="22"/>
          <w:szCs w:val="22"/>
        </w:rPr>
        <w:t> </w:t>
      </w:r>
      <w:r w:rsidRPr="003C00BB">
        <w:rPr>
          <w:sz w:val="22"/>
          <w:szCs w:val="22"/>
        </w:rPr>
        <w:t>r</w:t>
      </w:r>
      <w:r w:rsidR="0029606A" w:rsidRPr="003C00BB">
        <w:rPr>
          <w:sz w:val="22"/>
          <w:szCs w:val="22"/>
        </w:rPr>
        <w:t>.</w:t>
      </w:r>
      <w:r w:rsidRPr="003C00BB">
        <w:rPr>
          <w:sz w:val="22"/>
          <w:szCs w:val="22"/>
        </w:rPr>
        <w:t xml:space="preserve"> Prawo </w:t>
      </w:r>
      <w:r w:rsidR="0029606A" w:rsidRPr="003C00BB">
        <w:rPr>
          <w:sz w:val="22"/>
          <w:szCs w:val="22"/>
        </w:rPr>
        <w:t>z</w:t>
      </w:r>
      <w:r w:rsidRPr="003C00BB">
        <w:rPr>
          <w:sz w:val="22"/>
          <w:szCs w:val="22"/>
        </w:rPr>
        <w:t xml:space="preserve">amówień </w:t>
      </w:r>
      <w:r w:rsidR="0029606A" w:rsidRPr="003C00BB">
        <w:rPr>
          <w:sz w:val="22"/>
          <w:szCs w:val="22"/>
        </w:rPr>
        <w:t>p</w:t>
      </w:r>
      <w:r w:rsidRPr="003C00BB">
        <w:rPr>
          <w:sz w:val="22"/>
          <w:szCs w:val="22"/>
        </w:rPr>
        <w:t>ublicznych</w:t>
      </w:r>
      <w:r w:rsidR="00BE7BFD" w:rsidRPr="003C00BB">
        <w:rPr>
          <w:sz w:val="22"/>
          <w:szCs w:val="22"/>
        </w:rPr>
        <w:t xml:space="preserve"> </w:t>
      </w:r>
      <w:r w:rsidR="00D9049C" w:rsidRPr="003C00BB">
        <w:rPr>
          <w:sz w:val="22"/>
          <w:szCs w:val="22"/>
        </w:rPr>
        <w:t>udostępnia</w:t>
      </w:r>
      <w:r w:rsidR="00BE7BFD" w:rsidRPr="003C00BB">
        <w:rPr>
          <w:sz w:val="22"/>
          <w:szCs w:val="22"/>
        </w:rPr>
        <w:t xml:space="preserve"> poniżej treść zapytań do S</w:t>
      </w:r>
      <w:r w:rsidR="0012774F" w:rsidRPr="003C00BB">
        <w:rPr>
          <w:sz w:val="22"/>
          <w:szCs w:val="22"/>
        </w:rPr>
        <w:t>pecyfikacji Warunków Zamówienia (</w:t>
      </w:r>
      <w:r w:rsidR="0012774F" w:rsidRPr="003C00BB">
        <w:rPr>
          <w:sz w:val="22"/>
          <w:szCs w:val="22"/>
          <w:lang w:eastAsia="ar-SA"/>
        </w:rPr>
        <w:t>zwanej dalej</w:t>
      </w:r>
      <w:r w:rsidR="0012774F" w:rsidRPr="003C00BB">
        <w:rPr>
          <w:b/>
          <w:sz w:val="22"/>
          <w:szCs w:val="22"/>
          <w:lang w:eastAsia="ar-SA"/>
        </w:rPr>
        <w:t xml:space="preserve"> </w:t>
      </w:r>
      <w:r w:rsidR="0012774F" w:rsidRPr="003C00BB">
        <w:rPr>
          <w:bCs/>
          <w:sz w:val="22"/>
          <w:szCs w:val="22"/>
          <w:lang w:eastAsia="ar-SA"/>
        </w:rPr>
        <w:t>”SWZ”)</w:t>
      </w:r>
      <w:r w:rsidR="00D9049C" w:rsidRPr="003C00BB">
        <w:rPr>
          <w:bCs/>
          <w:sz w:val="22"/>
          <w:szCs w:val="22"/>
          <w:lang w:eastAsia="ar-SA"/>
        </w:rPr>
        <w:t xml:space="preserve"> </w:t>
      </w:r>
      <w:r w:rsidR="00D9049C" w:rsidRPr="003C00BB">
        <w:rPr>
          <w:sz w:val="22"/>
          <w:szCs w:val="22"/>
        </w:rPr>
        <w:t>wraz z wyjaśnieniami</w:t>
      </w:r>
      <w:r w:rsidR="0012774F" w:rsidRPr="003C00BB">
        <w:rPr>
          <w:bCs/>
          <w:sz w:val="22"/>
          <w:szCs w:val="22"/>
          <w:lang w:eastAsia="ar-SA"/>
        </w:rPr>
        <w:t>:</w:t>
      </w:r>
    </w:p>
    <w:tbl>
      <w:tblPr>
        <w:tblW w:w="9356" w:type="dxa"/>
        <w:tblInd w:w="-34" w:type="dxa"/>
        <w:tblLook w:val="04A0" w:firstRow="1" w:lastRow="0" w:firstColumn="1" w:lastColumn="0" w:noHBand="0" w:noVBand="1"/>
      </w:tblPr>
      <w:tblGrid>
        <w:gridCol w:w="9356"/>
      </w:tblGrid>
      <w:tr w:rsidR="00B53EBD" w:rsidRPr="003C00BB" w14:paraId="4DD592F6" w14:textId="77777777" w:rsidTr="00553D20">
        <w:tc>
          <w:tcPr>
            <w:tcW w:w="9356" w:type="dxa"/>
            <w:shd w:val="clear" w:color="auto" w:fill="auto"/>
          </w:tcPr>
          <w:p w14:paraId="11EBE4DA" w14:textId="3C484A48" w:rsidR="00B53EBD" w:rsidRPr="003C00BB" w:rsidRDefault="00B53EBD" w:rsidP="003C00BB">
            <w:pPr>
              <w:spacing w:after="120"/>
              <w:ind w:left="30" w:right="-72"/>
              <w:jc w:val="both"/>
            </w:pPr>
            <w:r w:rsidRPr="003C00BB">
              <w:rPr>
                <w:b/>
                <w:bCs/>
              </w:rPr>
              <w:t>1. Do §4 ust. 9 wzoru umowy:</w:t>
            </w:r>
            <w:r w:rsidRPr="003C00BB">
              <w:t xml:space="preserve"> Prosimy o skonkretyzowanie granicznych wartości dla poszczególnych pozycji asortymentowych, jakie Zamawiający zamierza zrealizować, np. poprzez podanie, że zmiany ilości produktów określonych w formularzu asortymentowo-cenowym mogą ulec zmniejszeniu lub zwiększeniu w granicach +/- 20%, a przez takie sformułowanie Zamawiający będzie rozumiał możliwość zamówienia o 20% mniejszych lub o 20% większych ilości, każdego z zamówionych asortymentów. Aktualna treść §4 ust. 9 wzoru umowy jest na tyle ogólna i nieprecyzyjna, że na jej podstawie wykonawcy nie są w stanie określić faktycznej wielkości przedmiotu zamówienia w zakresie jego poszczególnych pozycji asortymentowych oraz nie są w stanie dokonać prawidłowej kalkulacji cen na potrzeby składanej oferty.</w:t>
            </w:r>
          </w:p>
          <w:p w14:paraId="0ADDD0A5" w14:textId="2C1ACF50" w:rsidR="00B53EBD" w:rsidRPr="003C00BB" w:rsidRDefault="00B53EBD" w:rsidP="003C00BB">
            <w:pPr>
              <w:spacing w:after="120"/>
              <w:ind w:left="30" w:right="-72"/>
              <w:jc w:val="both"/>
            </w:pPr>
            <w:r w:rsidRPr="003C00BB">
              <w:t>W wyroku z dnia 17 listopada 2023 roku (sygn. akt: KIO 3212/23) Krajowa Izba Odwoławcza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oraz 441 ust. 1 ustawy z dnia 11 września 2019 r. Prawo Zamówień Publicznych (Dz. U. 2024 poz. 1320 ze zm.). Krajowa Izba Odwoławcza stwierdziła w tym wyroku, że Zamawiający jest bezwzględnie zobowiązany wskazać minimalną ilość każdego zamawianego produktu, zgodnie z treścią wynikającą z art. 433 pkt 4 PZP, a także uznała, że Zamawiający ma bezwzględny obowiązek w sposób precyzyjny, zrozumiały oraz jednoznaczny wskazać w zakresie każdego zamawianego produktu, jego ilość, do której może zwiększyć zakres zamówienia w ramach korzystania z prawa opcji, co z kolei wynika z treści art. 441 ust. 1 PZP.</w:t>
            </w:r>
          </w:p>
          <w:p w14:paraId="7A99FE2A" w14:textId="77777777" w:rsidR="00B53EBD" w:rsidRPr="003C00BB" w:rsidRDefault="00B53EBD" w:rsidP="00553D20">
            <w:pPr>
              <w:spacing w:after="120"/>
              <w:ind w:left="30" w:right="-72"/>
              <w:jc w:val="both"/>
            </w:pPr>
            <w:r w:rsidRPr="003C00BB">
              <w:t>Krajowa Izba Odwoławcza wskazała, że w przypadku zamówienia udzielanego w częściach, każda z części zamówienia stanowi odrębne zamówienie. W związku z tym, opis przedmiotu zamówienia, który przewiduje dowolne zwiększanie lub zmniejszanie ilości produktów z wybranych pozycji asortymentu, w tym całkowitą rezygnację z niektórych pozycji asortymentu, należy uznać za niejednoznaczny, niewyczerpujący, nieprecyzyjny, nieuwzględniający wszystkich wymagań oraz okoliczności, mogących mieć wpływ na sporządzenie oferty. Izba zauważyła, że możliwość zwiększenia zakresu zamówienia w istocie stanowi opcję, co potwierdza art. 31 ust. 2 PZP, z którego wynika, że przy ustaleniu wartości zamówienia uwzględnia się największy możliwy zakres tego zamówienia z uwzględnieniem opcji. Krajowa Izba Odwoławcza wywnioskowała także, że gdy przedmiotem zamówienia są dostawy, opcja stanowi instrument, który pozwala Zamawiającemu na nabycie produktów w ilości adekwatnej do zmian w zakresie jego potrzeb, występujących po zawarciu umowy w sprawie zamówienia publicznego. Zamawiający ma więc możliwość zastrzeżenia w umowie „opcji w górę”, przewidującej zwiększenie zakresu zamówienia oraz „opcji w dół”, pozwalającej na ograniczenie zakresu zamówienia. Nie jest nieprawidłowe zawarcie obu tych możliwości w jednym postanowieniu umowy czy też powiązanie ich ze sobą, ale przy ograniczaniu zakresu zamówienia należy przestrzegać zasady wynikającej z treści art. 433 pkt 4 PZP, zaś w zakresie, gdzie zwiększenie zakresu zamówienia stanowi opcję, należy stosować się do reguł wynikających z treści art. 441 ust. 1 PZP. Wynika z tego, że postanowienia umowy będą skonstruowane zgodnie z wyżej wymienionymi przepisami PZP jedynie w przypadku, kiedy zostaną w niej dokładnie określone granice zmian ilościowych „w dół” oraz „w górę” w odniesieniu do poszczególnych pozycji asortymentowych.</w:t>
            </w:r>
          </w:p>
          <w:p w14:paraId="00B88241" w14:textId="2CD03B18" w:rsidR="00B53EBD" w:rsidRPr="003C00BB" w:rsidRDefault="003C00BB" w:rsidP="00134343">
            <w:pPr>
              <w:spacing w:after="120"/>
              <w:ind w:left="30" w:right="-72"/>
              <w:jc w:val="both"/>
              <w:rPr>
                <w:b/>
                <w:bCs/>
              </w:rPr>
            </w:pPr>
            <w:r w:rsidRPr="003C00BB">
              <w:rPr>
                <w:b/>
                <w:bCs/>
              </w:rPr>
              <w:t>Odpowiedź:</w:t>
            </w:r>
            <w:r w:rsidR="00134343">
              <w:t xml:space="preserve"> </w:t>
            </w:r>
            <w:r w:rsidR="00134343" w:rsidRPr="00134343">
              <w:rPr>
                <w:b/>
                <w:bCs/>
              </w:rPr>
              <w:t xml:space="preserve">Zamawiający nie wyraża zgody. Z uwagi na specyfikę procedur medycznych i zmieniającą się niemożliwą do przewidzenia liczbę pacjentów, Szpital może nie być w stanie przewidzieć konkretnego </w:t>
            </w:r>
            <w:r w:rsidR="00134343" w:rsidRPr="00134343">
              <w:rPr>
                <w:b/>
                <w:bCs/>
              </w:rPr>
              <w:lastRenderedPageBreak/>
              <w:t>zapotrzebowania na leki. Dodatkowo Zamawiający zadeklarował wykonanie umowy w minimalnej wartości wynoszącej 60% zgodnie z par. 4 ust. 3.</w:t>
            </w:r>
          </w:p>
          <w:p w14:paraId="4169A7CB" w14:textId="77777777" w:rsidR="00B53EBD" w:rsidRPr="003C00BB" w:rsidRDefault="00B53EBD" w:rsidP="00553D20">
            <w:pPr>
              <w:spacing w:after="120"/>
              <w:ind w:left="30" w:right="-72"/>
              <w:jc w:val="both"/>
            </w:pPr>
            <w:r w:rsidRPr="003C00BB">
              <w:rPr>
                <w:b/>
                <w:bCs/>
              </w:rPr>
              <w:t>2. Do §10 ust. 3 wzoru umowy.</w:t>
            </w:r>
            <w:r w:rsidRPr="003C00BB">
              <w:t xml:space="preserve"> Prosimy o wykreślenie §10 ust. 3 jako niezgodnego z normami współżycia społecznego i będącego nadużyciem prawa ze strony Zamawiającego, a co za tym idzie, nie zasługującego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 Za takim rozumieniem przepisów przemawiają orzeczenia KIO o sygnaturach: KIO 2397/13 i KIO 487/14.</w:t>
            </w:r>
          </w:p>
          <w:p w14:paraId="0D56E8B9" w14:textId="0DAB2C3A" w:rsidR="00B53EBD" w:rsidRPr="003C00BB" w:rsidRDefault="003C00BB" w:rsidP="00553D20">
            <w:pPr>
              <w:spacing w:after="120"/>
              <w:ind w:left="30" w:right="-72"/>
              <w:jc w:val="both"/>
              <w:rPr>
                <w:b/>
                <w:bCs/>
              </w:rPr>
            </w:pPr>
            <w:r w:rsidRPr="003C00BB">
              <w:rPr>
                <w:b/>
                <w:bCs/>
              </w:rPr>
              <w:t>Odpowiedź:</w:t>
            </w:r>
            <w:r w:rsidR="00134343">
              <w:t xml:space="preserve"> </w:t>
            </w:r>
            <w:r w:rsidR="00134343" w:rsidRPr="00134343">
              <w:rPr>
                <w:b/>
                <w:bCs/>
              </w:rPr>
              <w:t>Zamawiający wyraża zgodę na wykreślenie §10 ust. 3. Stosowne zmiany wprowadzone zostaną na etapie tworzenia umowy.</w:t>
            </w:r>
          </w:p>
          <w:p w14:paraId="5A2AB535" w14:textId="77777777" w:rsidR="00B53EBD" w:rsidRPr="003C00BB" w:rsidRDefault="00B53EBD" w:rsidP="00553D20">
            <w:pPr>
              <w:spacing w:after="120"/>
              <w:ind w:left="30" w:right="-72"/>
              <w:jc w:val="both"/>
            </w:pPr>
            <w:r w:rsidRPr="003C00BB">
              <w:rPr>
                <w:b/>
                <w:bCs/>
              </w:rPr>
              <w:t>3. Do §11 ust. 7 w związku z §11 ust. 6 lit. a) wzoru umowy:</w:t>
            </w:r>
            <w:r w:rsidRPr="003C00BB">
              <w:t xml:space="preserve"> Prosimy o wykreślenie §11 ust. 7, gdyż zapisy te w sposób rażący naruszają równowagę stron, dając Zamawiającemu uprawnienie do jednostronnego kształtowania zasad realizacji zamówienia, poprzez każdorazowe odgórne ustalanie cen jednostkowych, które obowiązywać będą w trakcie wykonywania kontraktu, a także umożliwiając Zamawiającemu dowolne ograniczenia wielkości zamówienia, z pominięciem zasady wyrażonej w art. 433 pkt 4) ustawy z dnia 11 września 2019 r. Prawo Zamówień Publicznych (tj. Dz. U. z 2024 poz. 1320 ze zm.). Niniejsza argumentacja znajduje również potwierdzenie w orzecznictwie Krajowej Izby Odwoławczej, która w wyroku z dnia 8 listopada 2021 r. (KIO 3107/21) stwierdziła, że postanowienia zakładające możliwość odstąpienia od umowy w każdej chwili, bez gwarancji wykonania zamówienia w minimalnym zakresie, również w sytuacji, gdy Wykonawca nie obniży cen, stanowią nadużycie pozycji dominującej przez Zamawiającego i jako takie stanowi klauzulę abuzywną w świetle art. 433 pkt 4 ustawy PZP.</w:t>
            </w:r>
          </w:p>
          <w:p w14:paraId="33768E58" w14:textId="6164CED7" w:rsidR="00B53EBD" w:rsidRPr="003C00BB" w:rsidRDefault="003C00BB" w:rsidP="00553D20">
            <w:pPr>
              <w:spacing w:after="120"/>
              <w:ind w:left="30" w:right="-72"/>
              <w:jc w:val="both"/>
              <w:rPr>
                <w:b/>
                <w:bCs/>
              </w:rPr>
            </w:pPr>
            <w:r w:rsidRPr="003C00BB">
              <w:rPr>
                <w:b/>
                <w:bCs/>
              </w:rPr>
              <w:t>Odpowiedź:</w:t>
            </w:r>
            <w:r w:rsidR="00134343">
              <w:rPr>
                <w:b/>
                <w:bCs/>
              </w:rPr>
              <w:t xml:space="preserve"> Zamawiający nie wyraża zgody.</w:t>
            </w:r>
          </w:p>
          <w:p w14:paraId="2D7EAC70" w14:textId="29F36A32" w:rsidR="00B53EBD" w:rsidRPr="003C00BB" w:rsidRDefault="00B53EBD" w:rsidP="003C00BB">
            <w:pPr>
              <w:spacing w:after="120"/>
              <w:ind w:left="30" w:right="-72"/>
              <w:jc w:val="both"/>
            </w:pPr>
            <w:r w:rsidRPr="003C00BB">
              <w:rPr>
                <w:b/>
                <w:bCs/>
              </w:rPr>
              <w:t>4. Do §12 wzoru umowy:</w:t>
            </w:r>
            <w:r w:rsidRPr="003C00BB">
              <w:t xml:space="preserve"> Prosimy o zmianę treści §12 ust. 1 wzoru umowy poprzez usunięcie postanowienia ustanawiającego, że w przypadku zmiany ceny materiałów lub kosztów związanych z realizacją zamówienia, rozumianej jako wzrost odpowiednio łącznych cen i kosztów o więcej niż 10% względem łącznych cen i kosztów przyjętych w celu ustalenia wynagrodzenia Wykonawcy zawartego w ofercie Wykonawcy, wynagrodzenie Wykonawcy może ulec zmianie – zgodnie oraz zastąpienie go postanowieniem przewidującym, że wartość ww. poziomu zmiany cen wyniesie 3%, albowiem ww. postanowienie narusza zasadę ekwiwalentności świadczeń stron oraz postulat równomiernego rozłożenia ryzyka kontraktowego.</w:t>
            </w:r>
          </w:p>
          <w:p w14:paraId="6C53935C" w14:textId="147BE1ED" w:rsidR="00B53EBD" w:rsidRPr="003C00BB" w:rsidRDefault="00B53EBD" w:rsidP="003C00BB">
            <w:pPr>
              <w:spacing w:after="120"/>
              <w:ind w:left="30" w:right="-72"/>
              <w:jc w:val="both"/>
            </w:pPr>
            <w:r w:rsidRPr="003C00BB">
              <w:t>Uzasadniając powyższe, wskazać należy, że §12 ust. 1 wzoru umowy, ustanawiający poziom zmiany ceny materiałów lub kosztów uprawniający strony umowy do żądania zmiany wynagrodzenia na 10%, nie zapewnia ekwiwalentności świadczeń stron umowy oraz nie niweluje ryzyka związanego ze zmianą kosztów wykonania zamówienia publicznego, co przy aktualnym poziomie inflacji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9% (co stanowi dużą wartość, zwłaszcza uwzględniając niskie marże w zamówieniach publicznych na dostawy leków)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59239B2B" w14:textId="0FD6CF25" w:rsidR="00B53EBD" w:rsidRPr="003C00BB" w:rsidRDefault="00B53EBD" w:rsidP="003C00BB">
            <w:pPr>
              <w:spacing w:after="120"/>
              <w:ind w:left="30" w:right="-72"/>
              <w:jc w:val="both"/>
            </w:pPr>
            <w:r w:rsidRPr="003C00BB">
              <w:t>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15% uznać będzie można za wystarczające dla zapewnienia równowagi kontraktowej stron.</w:t>
            </w:r>
          </w:p>
          <w:p w14:paraId="4604A0D4" w14:textId="77777777" w:rsidR="00B53EBD" w:rsidRPr="003C00BB" w:rsidRDefault="00B53EBD" w:rsidP="00553D20">
            <w:pPr>
              <w:spacing w:after="120"/>
              <w:ind w:left="30" w:right="-72"/>
              <w:jc w:val="both"/>
            </w:pPr>
            <w:r w:rsidRPr="003C00BB">
              <w:t>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w:t>
            </w:r>
          </w:p>
          <w:p w14:paraId="3A9AC78C" w14:textId="57EE4AF4" w:rsidR="00B53EBD" w:rsidRPr="003C00BB" w:rsidRDefault="003C00BB" w:rsidP="00553D20">
            <w:pPr>
              <w:spacing w:after="120"/>
              <w:ind w:left="30" w:right="-72"/>
              <w:jc w:val="both"/>
              <w:rPr>
                <w:b/>
                <w:bCs/>
              </w:rPr>
            </w:pPr>
            <w:r w:rsidRPr="003C00BB">
              <w:rPr>
                <w:b/>
                <w:bCs/>
              </w:rPr>
              <w:t>Odpowiedź:</w:t>
            </w:r>
            <w:r w:rsidR="00ED4F73">
              <w:rPr>
                <w:b/>
                <w:bCs/>
              </w:rPr>
              <w:t xml:space="preserve"> Zamawiający nie wyraża zgody na zaproponowaną zmianę. </w:t>
            </w:r>
          </w:p>
          <w:p w14:paraId="5EE61A3A" w14:textId="77777777" w:rsidR="00B53EBD" w:rsidRPr="003C00BB" w:rsidRDefault="00B53EBD" w:rsidP="00553D20">
            <w:pPr>
              <w:spacing w:after="120"/>
              <w:ind w:left="30" w:right="-72"/>
              <w:jc w:val="both"/>
            </w:pPr>
            <w:r w:rsidRPr="003C00BB">
              <w:rPr>
                <w:b/>
                <w:bCs/>
              </w:rPr>
              <w:t>5. Do §12 ust. 1 lit. c) wzoru umowy.</w:t>
            </w:r>
            <w:r w:rsidRPr="003C00BB">
              <w:t xml:space="preserve"> Czy Zamawiający zgodzi się na zmianę §12 ust. 1 lit. c) wzoru umowy poprzez usunięcie fragmentu o dołączaniu do wniosku o waloryzację szczegółowej kalkulacji lub innych dokumentów potwierdzających zastosowanie poszczególnych kosztów, mających wpływ na przedmiotową zmianę, gdyż uzależnienie uruchomienia mechanizmu waloryzacji wynagrodzenia od przedłożenia przez </w:t>
            </w:r>
            <w:r w:rsidRPr="003C00BB">
              <w:lastRenderedPageBreak/>
              <w:t>Wykonawcę ww. dokumentów uznać należy za nieuprawnione w świetle art. 439 ust. 1 i 2 PZP, a określenie wpływu zmiany ceny materiałów lub kosztów na koszt wykonania zamówienia, zgodnie z zamysłem ustawodawcy, ideą oraz istotą samej waloryzacji - powinno następować poprzez odesłanie do obiektywnych, jednoznacznych oraz niezależnych od stron umowy wskaźników makroekonomicznych.</w:t>
            </w:r>
          </w:p>
          <w:p w14:paraId="71636565" w14:textId="08E604C0" w:rsidR="00B53EBD" w:rsidRPr="003C00BB" w:rsidRDefault="00B53EBD" w:rsidP="003C00BB">
            <w:pPr>
              <w:spacing w:after="120"/>
              <w:ind w:left="30" w:right="-72"/>
              <w:jc w:val="both"/>
            </w:pPr>
            <w:r w:rsidRPr="003C00BB">
              <w:t>Dlatego też, do uruchomienia mechanizmu waloryzacji wystarczającym winno być złożenie przez Wykonawcę wniosku, w którym powoła się na wzrost wskaźnika cen towarów i usług konsumpcyjnych, publikowanego w Komunikacie Prezesa Głównego Urzędu Statystycznego.</w:t>
            </w:r>
          </w:p>
          <w:p w14:paraId="0D35D34C" w14:textId="77777777" w:rsidR="00B53EBD" w:rsidRPr="003C00BB" w:rsidRDefault="00B53EBD" w:rsidP="00553D20">
            <w:pPr>
              <w:spacing w:after="120"/>
              <w:ind w:left="30" w:right="-72"/>
              <w:jc w:val="both"/>
            </w:pPr>
            <w:r w:rsidRPr="003C00BB">
              <w:t>Wymóg przedłożenia przez Wykonawcę dokumentów zawierających zestawienie kosztów ponoszonych przez Wykonawcę wraz ze stosownymi obliczeniami i uzasadnieniem stanowi rażące naruszenie treści oraz idei art. 439 PZP, albowiem – wbrew woli ustawodawcy – stanowi on jedynie iluzoryczną realizację wymogów ustawowych dot. waloryzacji wynagrodzenia wykonawcy. W świetle art. 439 ust. 1 i 2 PZP nie jest bowiem uprawnionym obciążanie Wykonawcy tak daleko idącymi obowiązkami celem przeprowadzenia waloryzacji wynagrodzenia. Zarówno w orzecznictwie, jak i w doktrynie wskazuje się, że zmiana wynagrodzenia winna być oparta o zmiany ceny materiałów lub kosztów określone wskaźnikiem obiektywnym, jednoznacznym, łatwo dostępnym, niezależnym od stron umowy, jak najbliżej związanym z przedmiotem zamówienia (tak: E. Wiktorowska [w:] A. Gawrońska-Baran, A. Wiktorowski, P. Wójcik, E. Wiktorowska, Prawo zamówień publicznych. Komentarz aktualizowany, LEX/el. 2023, art. 439), np. wskaźnikiem cen towarów i usług konsumpcyjnych ogłaszanym w komunikacie Prezesa Głównego Urzędu Statystycznego. Tym samym podstawą do obliczenia zmiany wynagrodzenia powinien być sam fakt zmiany wybranego wskaźnika. Skorzystanie przez strony umowy z wybranej metody indeksacji nie może wymagać przeprowadzenia przez wykonawcę dodatkowych dowodów i wyjaśnień, przedkładania ofert dostawców lub podwykonawców potwierdzających bezpośredni lub pośredni wpływ na koszty ponoszone przez wykonawcę w związku z realizacją zamówienia w przypadku wzrostu lub zmniejszenia wielkości wskaźnika (tak: E. Wiatrowska… op. cit.). Poprzez wprowadzenie do ustawy PZP obligatoryjnego wymogu zawarcia w umowie postanowień o zasadach wprowadzenia zmian wysokości wynagrodzenia należnego wykonawcy w przypadku zmiany cen materiałów lub kosztów związanych z realizacją zamówienia, ustawodawcy należy przypisać zamiar zastosowania automatyzmu właściwego dla instytucji waloryzacji. Wymóg zawarty w §12 ust. 1 lit. c) wzoru umowy może stanowić także naruszenie tajemnicy przedsiębiorstwa, ponieważ zgodnie ze stanowiskiem dominującym w orzecznictwie Krajowej Izby Odwoławczej, tajemnicą przedsiębiorstwa mogą być objęte m.in. kalkulacje ceny ofertowej (sposób kalkulacji, przyjęte kwoty), dostawy (w tym ceny materiałów) lub stosowane rozwiązania organizacyjne.</w:t>
            </w:r>
          </w:p>
          <w:p w14:paraId="64F7CAF9" w14:textId="53CCBF55" w:rsidR="00B53EBD" w:rsidRPr="003C00BB" w:rsidRDefault="003C00BB" w:rsidP="00553D20">
            <w:pPr>
              <w:spacing w:after="120"/>
              <w:ind w:left="30" w:right="-72"/>
              <w:jc w:val="both"/>
              <w:rPr>
                <w:b/>
                <w:bCs/>
              </w:rPr>
            </w:pPr>
            <w:r w:rsidRPr="003C00BB">
              <w:rPr>
                <w:b/>
                <w:bCs/>
              </w:rPr>
              <w:t>Odpowiedź:</w:t>
            </w:r>
            <w:r w:rsidR="00134343">
              <w:rPr>
                <w:b/>
                <w:bCs/>
              </w:rPr>
              <w:t xml:space="preserve"> Zamawiający nie wyraża zgody.</w:t>
            </w:r>
          </w:p>
          <w:p w14:paraId="11328D6C" w14:textId="77777777" w:rsidR="00B53EBD" w:rsidRPr="003C00BB" w:rsidRDefault="00B53EBD" w:rsidP="00553D20">
            <w:pPr>
              <w:spacing w:after="120"/>
              <w:ind w:left="30" w:right="-72"/>
              <w:jc w:val="both"/>
            </w:pPr>
            <w:r w:rsidRPr="003C00BB">
              <w:rPr>
                <w:b/>
                <w:bCs/>
              </w:rPr>
              <w:t>6. Do §13 ust.1 lit. a) wzoru umowy</w:t>
            </w:r>
            <w:r w:rsidRPr="003C00BB">
              <w:t>. Czy Zamawiający wyrazi zgodę na zmianę wymiaru kary umownej zastrzeżonej na wypadek zwłoki w terminie dostawy do wysokości 0,5% wartości niedostarczonego w terminie towaru za każdy dzień zwłoki oraz 0,05% wartości niedostarczonego w terminie towaru za każdą godzinę zwłoki?</w:t>
            </w:r>
          </w:p>
          <w:p w14:paraId="5B682F57" w14:textId="397EC1FA" w:rsidR="00B53EBD" w:rsidRPr="003C00BB" w:rsidRDefault="003C00BB" w:rsidP="00553D20">
            <w:pPr>
              <w:spacing w:after="120"/>
              <w:ind w:left="30" w:right="-72"/>
              <w:jc w:val="both"/>
              <w:rPr>
                <w:b/>
                <w:bCs/>
              </w:rPr>
            </w:pPr>
            <w:r w:rsidRPr="003C00BB">
              <w:rPr>
                <w:b/>
                <w:bCs/>
              </w:rPr>
              <w:t>Odpowiedź:</w:t>
            </w:r>
            <w:r w:rsidR="00CB77E5">
              <w:rPr>
                <w:b/>
                <w:bCs/>
              </w:rPr>
              <w:t xml:space="preserve"> Zamawiający nie wyraża zgody.</w:t>
            </w:r>
          </w:p>
          <w:p w14:paraId="46ED04E8" w14:textId="77777777" w:rsidR="00B53EBD" w:rsidRPr="003C00BB" w:rsidRDefault="00B53EBD" w:rsidP="00553D20">
            <w:pPr>
              <w:spacing w:after="120"/>
              <w:ind w:left="30" w:right="-72"/>
              <w:jc w:val="both"/>
            </w:pPr>
            <w:r w:rsidRPr="003C00BB">
              <w:rPr>
                <w:b/>
                <w:bCs/>
              </w:rPr>
              <w:t>7. Do §13 ust. 1 lit. c) i d) wzoru umowy:</w:t>
            </w:r>
            <w:r w:rsidRPr="003C00BB">
              <w:t xml:space="preserve"> Czy Zamawiający wyrazi zgodę na obniżenie wysokości kary umownej zastrzeżonej w §13 ust. 1 lit. c) oraz lit. d) wzoru umowy do wysokości 10% wartości niezrealizowanej części umowy?</w:t>
            </w:r>
          </w:p>
          <w:p w14:paraId="33F80B48" w14:textId="5D421992" w:rsidR="00B53EBD" w:rsidRPr="003C00BB" w:rsidRDefault="00B53EBD" w:rsidP="003C00BB">
            <w:pPr>
              <w:spacing w:after="40"/>
              <w:ind w:left="30" w:right="-72"/>
              <w:rPr>
                <w:b/>
                <w:bCs/>
              </w:rPr>
            </w:pPr>
            <w:r w:rsidRPr="003C00BB">
              <w:rPr>
                <w:b/>
                <w:bCs/>
              </w:rPr>
              <w:t>Odpowiedź:</w:t>
            </w:r>
            <w:r w:rsidR="00CB77E5">
              <w:rPr>
                <w:b/>
                <w:bCs/>
              </w:rPr>
              <w:t xml:space="preserve"> Zamawiający nie wyraża zgody. </w:t>
            </w:r>
          </w:p>
        </w:tc>
      </w:tr>
    </w:tbl>
    <w:p w14:paraId="1573BDFD" w14:textId="77777777" w:rsidR="00BE7BFD" w:rsidRPr="003C00BB" w:rsidRDefault="00BE7BFD" w:rsidP="00520165">
      <w:pPr>
        <w:jc w:val="both"/>
        <w:rPr>
          <w:sz w:val="22"/>
          <w:szCs w:val="22"/>
        </w:rPr>
      </w:pPr>
    </w:p>
    <w:p w14:paraId="2745C7FA" w14:textId="77777777" w:rsidR="003C00BB" w:rsidRDefault="003C00BB" w:rsidP="00BE62A3">
      <w:pPr>
        <w:pStyle w:val="Tekstpodstawowy"/>
        <w:spacing w:before="120" w:after="480"/>
        <w:ind w:left="3119" w:firstLine="425"/>
        <w:jc w:val="center"/>
        <w:rPr>
          <w:sz w:val="24"/>
          <w:szCs w:val="24"/>
        </w:rPr>
      </w:pPr>
    </w:p>
    <w:p w14:paraId="4D129730" w14:textId="35D96603" w:rsidR="006D4AB3" w:rsidRPr="003C00BB" w:rsidRDefault="00BE62A3" w:rsidP="003C00BB">
      <w:pPr>
        <w:pStyle w:val="Tekstpodstawowy"/>
        <w:spacing w:before="120" w:after="480"/>
        <w:ind w:left="3119" w:firstLine="425"/>
        <w:jc w:val="center"/>
        <w:rPr>
          <w:i/>
          <w:iCs/>
          <w:sz w:val="24"/>
          <w:szCs w:val="24"/>
        </w:rPr>
      </w:pPr>
      <w:r w:rsidRPr="003C00BB">
        <w:rPr>
          <w:i/>
          <w:iCs/>
          <w:sz w:val="24"/>
          <w:szCs w:val="24"/>
        </w:rPr>
        <w:t>Przewodniczący Komisji Przetargowej</w:t>
      </w:r>
      <w:r w:rsidR="003C00BB" w:rsidRPr="003C00BB">
        <w:rPr>
          <w:i/>
          <w:iCs/>
          <w:sz w:val="24"/>
          <w:szCs w:val="24"/>
        </w:rPr>
        <w:br/>
      </w:r>
      <w:r w:rsidR="003C00BB" w:rsidRPr="003C00BB">
        <w:rPr>
          <w:i/>
          <w:iCs/>
          <w:sz w:val="24"/>
          <w:szCs w:val="24"/>
        </w:rPr>
        <w:br/>
      </w:r>
      <w:r w:rsidR="00B53EBD" w:rsidRPr="003C00BB">
        <w:rPr>
          <w:i/>
          <w:iCs/>
          <w:sz w:val="24"/>
          <w:szCs w:val="24"/>
        </w:rPr>
        <w:t>Barbara</w:t>
      </w:r>
      <w:r w:rsidR="006D4AB3" w:rsidRPr="003C00BB">
        <w:rPr>
          <w:i/>
          <w:iCs/>
          <w:sz w:val="24"/>
          <w:szCs w:val="24"/>
        </w:rPr>
        <w:t xml:space="preserve"> </w:t>
      </w:r>
      <w:proofErr w:type="spellStart"/>
      <w:r w:rsidR="00B53EBD" w:rsidRPr="003C00BB">
        <w:rPr>
          <w:i/>
          <w:iCs/>
          <w:sz w:val="24"/>
          <w:szCs w:val="24"/>
        </w:rPr>
        <w:t>Parcz</w:t>
      </w:r>
      <w:proofErr w:type="spellEnd"/>
    </w:p>
    <w:sectPr w:rsidR="006D4AB3" w:rsidRPr="003C00BB" w:rsidSect="003C00BB">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F3B0A" w14:textId="77777777" w:rsidR="00B0532B" w:rsidRDefault="00B0532B">
      <w:r>
        <w:separator/>
      </w:r>
    </w:p>
  </w:endnote>
  <w:endnote w:type="continuationSeparator" w:id="0">
    <w:p w14:paraId="5935B264" w14:textId="77777777" w:rsidR="00B0532B" w:rsidRDefault="00B05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4D39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66C80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490C5" w14:textId="77777777" w:rsidR="006D4AB3" w:rsidRDefault="00ED4F73">
    <w:pPr>
      <w:pStyle w:val="Stopka"/>
      <w:tabs>
        <w:tab w:val="clear" w:pos="4536"/>
      </w:tabs>
      <w:jc w:val="center"/>
    </w:pPr>
    <w:r>
      <w:rPr>
        <w:noProof/>
      </w:rPr>
      <w:pict w14:anchorId="33F0FABC">
        <v:line id="_x0000_s1025" style="position:absolute;left:0;text-align:left;z-index:251657728" from="-3.85pt,8.75pt" to="455.15pt,8.75pt"/>
      </w:pict>
    </w:r>
  </w:p>
  <w:p w14:paraId="0D42E01D" w14:textId="6D51FD33"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780A8" w14:textId="77777777" w:rsidR="006D4AB3" w:rsidRDefault="006D4AB3">
    <w:pPr>
      <w:pStyle w:val="Stopka"/>
      <w:pBdr>
        <w:bottom w:val="single" w:sz="6" w:space="0" w:color="auto"/>
      </w:pBdr>
      <w:tabs>
        <w:tab w:val="clear" w:pos="4536"/>
        <w:tab w:val="left" w:pos="6237"/>
      </w:tabs>
    </w:pPr>
  </w:p>
  <w:p w14:paraId="17DF70F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1FE9072" w14:textId="77777777" w:rsidR="006D4AB3" w:rsidRDefault="006D4AB3">
    <w:pPr>
      <w:pStyle w:val="Stopka"/>
      <w:tabs>
        <w:tab w:val="clear" w:pos="4536"/>
        <w:tab w:val="left" w:pos="6237"/>
      </w:tabs>
    </w:pPr>
  </w:p>
  <w:p w14:paraId="4DF8586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85295" w14:textId="77777777" w:rsidR="00B0532B" w:rsidRDefault="00B0532B">
      <w:r>
        <w:separator/>
      </w:r>
    </w:p>
  </w:footnote>
  <w:footnote w:type="continuationSeparator" w:id="0">
    <w:p w14:paraId="15846F28" w14:textId="77777777" w:rsidR="00B0532B" w:rsidRDefault="00B053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B8A48" w14:textId="77777777" w:rsidR="00B53EBD" w:rsidRDefault="00B53EB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6697E" w14:textId="77777777" w:rsidR="00B53EBD" w:rsidRDefault="00B53EB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3CA55" w14:textId="77777777" w:rsidR="00B53EBD" w:rsidRDefault="00B53E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98375383">
    <w:abstractNumId w:val="3"/>
  </w:num>
  <w:num w:numId="2" w16cid:durableId="2066829283">
    <w:abstractNumId w:val="6"/>
  </w:num>
  <w:num w:numId="3" w16cid:durableId="21053551">
    <w:abstractNumId w:val="2"/>
  </w:num>
  <w:num w:numId="4" w16cid:durableId="660163966">
    <w:abstractNumId w:val="5"/>
  </w:num>
  <w:num w:numId="5" w16cid:durableId="394624172">
    <w:abstractNumId w:val="0"/>
  </w:num>
  <w:num w:numId="6" w16cid:durableId="628971730">
    <w:abstractNumId w:val="1"/>
  </w:num>
  <w:num w:numId="7" w16cid:durableId="705373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532B"/>
    <w:rsid w:val="00031374"/>
    <w:rsid w:val="000A1097"/>
    <w:rsid w:val="000E2A8F"/>
    <w:rsid w:val="0012774F"/>
    <w:rsid w:val="00134343"/>
    <w:rsid w:val="00144B7A"/>
    <w:rsid w:val="00180C6E"/>
    <w:rsid w:val="001B551A"/>
    <w:rsid w:val="0029606A"/>
    <w:rsid w:val="00355442"/>
    <w:rsid w:val="003C00BB"/>
    <w:rsid w:val="004206B0"/>
    <w:rsid w:val="004848F3"/>
    <w:rsid w:val="004A75F2"/>
    <w:rsid w:val="005144A9"/>
    <w:rsid w:val="00520165"/>
    <w:rsid w:val="00595812"/>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0532B"/>
    <w:rsid w:val="00B1255C"/>
    <w:rsid w:val="00B153F9"/>
    <w:rsid w:val="00B53EBD"/>
    <w:rsid w:val="00BA6584"/>
    <w:rsid w:val="00BE62A3"/>
    <w:rsid w:val="00BE7BFD"/>
    <w:rsid w:val="00C370F2"/>
    <w:rsid w:val="00C44EEC"/>
    <w:rsid w:val="00CB77E5"/>
    <w:rsid w:val="00D22FFA"/>
    <w:rsid w:val="00D8461B"/>
    <w:rsid w:val="00D86206"/>
    <w:rsid w:val="00D9049C"/>
    <w:rsid w:val="00D915F2"/>
    <w:rsid w:val="00DF32E8"/>
    <w:rsid w:val="00E21B49"/>
    <w:rsid w:val="00E2789F"/>
    <w:rsid w:val="00E72428"/>
    <w:rsid w:val="00EA14B3"/>
    <w:rsid w:val="00EA416E"/>
    <w:rsid w:val="00EC41F5"/>
    <w:rsid w:val="00ED4F73"/>
    <w:rsid w:val="00FA373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863DC6"/>
  <w15:chartTrackingRefBased/>
  <w15:docId w15:val="{FCB02A39-B667-4DBC-8D9C-488A7E234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1783</Words>
  <Characters>11406</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3</cp:revision>
  <cp:lastPrinted>2025-04-04T11:29:00Z</cp:lastPrinted>
  <dcterms:created xsi:type="dcterms:W3CDTF">2025-04-04T10:02:00Z</dcterms:created>
  <dcterms:modified xsi:type="dcterms:W3CDTF">2025-04-04T11:29:00Z</dcterms:modified>
</cp:coreProperties>
</file>