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C5E05" w14:textId="265C4A67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CD209B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p w14:paraId="30FB6950" w14:textId="301E9F7A" w:rsidR="000A2B21" w:rsidRPr="00616F52" w:rsidRDefault="000A2B21" w:rsidP="000A2B2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 xml:space="preserve">Wykonawca dostarczy </w:t>
      </w:r>
      <w:r w:rsidR="005352E1">
        <w:t>system</w:t>
      </w:r>
      <w:r w:rsidRPr="00616F52">
        <w:t xml:space="preserve"> ana</w:t>
      </w:r>
      <w:r w:rsidR="005352E1">
        <w:t>lityczny</w:t>
      </w:r>
      <w:r w:rsidRPr="00616F52">
        <w:rPr>
          <w:bCs/>
        </w:rPr>
        <w:t xml:space="preserve"> do odczytu testów paskowych oraz analizy elementów upostaciowanych moczu metodą mikroskopową </w:t>
      </w:r>
      <w:r w:rsidRPr="00616F52">
        <w:t xml:space="preserve"> – 1 sztuka, oraz </w:t>
      </w:r>
      <w:r w:rsidR="008F2BCB">
        <w:t>dodatkowy analizator do</w:t>
      </w:r>
      <w:r w:rsidR="005352E1">
        <w:t xml:space="preserve"> oceny</w:t>
      </w:r>
      <w:r w:rsidR="008F2BCB">
        <w:t xml:space="preserve"> </w:t>
      </w:r>
      <w:r w:rsidRPr="00616F52">
        <w:t xml:space="preserve">właściwości fizyko-chemicznych – 1 sztuka, umożliwiające przeprowadzenie 45 000 badań na paskach </w:t>
      </w:r>
      <w:r w:rsidR="008F2BCB">
        <w:t>(</w:t>
      </w:r>
      <w:r w:rsidR="005352E1">
        <w:t>jednakowych</w:t>
      </w:r>
      <w:r w:rsidR="008F2BCB">
        <w:t xml:space="preserve"> dla obu urządzeń)</w:t>
      </w:r>
      <w:r w:rsidR="005352E1">
        <w:t xml:space="preserve"> oraz analizy takiej samej ilości elementów upostaciowanych moczu. Oba analizatory nie starsze niż 2020 rok produkcji.</w:t>
      </w:r>
    </w:p>
    <w:p w14:paraId="3803FB14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51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1134"/>
        <w:gridCol w:w="1417"/>
        <w:gridCol w:w="851"/>
        <w:gridCol w:w="1276"/>
        <w:gridCol w:w="1276"/>
        <w:gridCol w:w="1276"/>
        <w:gridCol w:w="1275"/>
        <w:gridCol w:w="1844"/>
        <w:gridCol w:w="1841"/>
      </w:tblGrid>
      <w:tr w:rsidR="000A2B21" w:rsidRPr="000A2B21" w14:paraId="4B510054" w14:textId="77777777" w:rsidTr="000719B1">
        <w:tc>
          <w:tcPr>
            <w:tcW w:w="710" w:type="dxa"/>
            <w:shd w:val="clear" w:color="auto" w:fill="FBD4B4"/>
          </w:tcPr>
          <w:p w14:paraId="0BC40004" w14:textId="77777777" w:rsidR="000A2B21" w:rsidRPr="000A2B21" w:rsidRDefault="000A2B21" w:rsidP="000719B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415372" w14:textId="77777777" w:rsidR="000A2B21" w:rsidRPr="000A2B21" w:rsidRDefault="000A2B21" w:rsidP="000719B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68" w:type="dxa"/>
            <w:shd w:val="clear" w:color="auto" w:fill="FBD4B4"/>
          </w:tcPr>
          <w:p w14:paraId="5A2B2CE1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shd w:val="clear" w:color="auto" w:fill="FBD4B4"/>
          </w:tcPr>
          <w:p w14:paraId="4565A64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1417" w:type="dxa"/>
            <w:shd w:val="clear" w:color="auto" w:fill="FBD4B4"/>
          </w:tcPr>
          <w:p w14:paraId="67A9CDC2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bCs/>
                <w:sz w:val="20"/>
                <w:szCs w:val="20"/>
              </w:rPr>
              <w:t>Wielkość opakowania</w:t>
            </w:r>
          </w:p>
        </w:tc>
        <w:tc>
          <w:tcPr>
            <w:tcW w:w="851" w:type="dxa"/>
            <w:shd w:val="clear" w:color="auto" w:fill="FBD4B4"/>
          </w:tcPr>
          <w:p w14:paraId="784779F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69200267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BD4B4"/>
          </w:tcPr>
          <w:p w14:paraId="0C09107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52C8B5E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6" w:type="dxa"/>
            <w:shd w:val="clear" w:color="auto" w:fill="FBD4B4"/>
          </w:tcPr>
          <w:p w14:paraId="78F6A27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28C2FF94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(kol.5x6)</w:t>
            </w:r>
          </w:p>
        </w:tc>
        <w:tc>
          <w:tcPr>
            <w:tcW w:w="1276" w:type="dxa"/>
            <w:shd w:val="clear" w:color="auto" w:fill="FBD4B4"/>
          </w:tcPr>
          <w:p w14:paraId="5BD39686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5F4270A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275" w:type="dxa"/>
            <w:shd w:val="clear" w:color="auto" w:fill="FBD4B4"/>
          </w:tcPr>
          <w:p w14:paraId="12E814E1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6C75B249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(kol.7x8)</w:t>
            </w:r>
          </w:p>
        </w:tc>
        <w:tc>
          <w:tcPr>
            <w:tcW w:w="1844" w:type="dxa"/>
            <w:shd w:val="clear" w:color="auto" w:fill="FBD4B4"/>
          </w:tcPr>
          <w:p w14:paraId="7A457D59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56E6AFA6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(kol.7+kol.9)</w:t>
            </w:r>
          </w:p>
        </w:tc>
        <w:tc>
          <w:tcPr>
            <w:tcW w:w="1841" w:type="dxa"/>
            <w:shd w:val="clear" w:color="auto" w:fill="FBD4B4"/>
          </w:tcPr>
          <w:p w14:paraId="6AED57E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2E53437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0A2B21" w:rsidRPr="00616F52" w14:paraId="6F3698E1" w14:textId="77777777" w:rsidTr="000719B1">
        <w:trPr>
          <w:trHeight w:val="346"/>
        </w:trPr>
        <w:tc>
          <w:tcPr>
            <w:tcW w:w="710" w:type="dxa"/>
            <w:shd w:val="clear" w:color="auto" w:fill="FBD4B4"/>
          </w:tcPr>
          <w:p w14:paraId="7D868242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68" w:type="dxa"/>
            <w:shd w:val="clear" w:color="auto" w:fill="FBD4B4"/>
          </w:tcPr>
          <w:p w14:paraId="2C4025D3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shd w:val="clear" w:color="auto" w:fill="FBD4B4"/>
          </w:tcPr>
          <w:p w14:paraId="33F7CF44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417" w:type="dxa"/>
            <w:shd w:val="clear" w:color="auto" w:fill="FBD4B4"/>
          </w:tcPr>
          <w:p w14:paraId="44D745B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FBD4B4"/>
          </w:tcPr>
          <w:p w14:paraId="119A2113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FBD4B4"/>
          </w:tcPr>
          <w:p w14:paraId="60F39417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6" w:type="dxa"/>
            <w:shd w:val="clear" w:color="auto" w:fill="FBD4B4"/>
          </w:tcPr>
          <w:p w14:paraId="7B852D6A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FBD4B4"/>
          </w:tcPr>
          <w:p w14:paraId="3F2C2D6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275" w:type="dxa"/>
            <w:shd w:val="clear" w:color="auto" w:fill="FBD4B4"/>
          </w:tcPr>
          <w:p w14:paraId="1CD67F7E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844" w:type="dxa"/>
            <w:shd w:val="clear" w:color="auto" w:fill="FBD4B4"/>
          </w:tcPr>
          <w:p w14:paraId="6BE5CBA7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841" w:type="dxa"/>
            <w:shd w:val="clear" w:color="auto" w:fill="FBD4B4"/>
          </w:tcPr>
          <w:p w14:paraId="69C2BF6D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</w:tr>
      <w:tr w:rsidR="000A2B21" w:rsidRPr="00616F52" w14:paraId="7EB920A4" w14:textId="77777777" w:rsidTr="000719B1">
        <w:trPr>
          <w:trHeight w:val="378"/>
        </w:trPr>
        <w:tc>
          <w:tcPr>
            <w:tcW w:w="710" w:type="dxa"/>
          </w:tcPr>
          <w:p w14:paraId="1C93D93D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F01C96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98893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D5460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0EC006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8D7B63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77786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523E37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E298C11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6AEF119C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08378A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5B44D7EB" w14:textId="77777777" w:rsidTr="000719B1">
        <w:trPr>
          <w:trHeight w:val="270"/>
        </w:trPr>
        <w:tc>
          <w:tcPr>
            <w:tcW w:w="710" w:type="dxa"/>
          </w:tcPr>
          <w:p w14:paraId="1F2642C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9DC378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4B76E9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1D90F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B4E9EF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35E1D1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824F892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D60FD96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CED49C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4633E21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4F751F76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2772833F" w14:textId="77777777" w:rsidTr="000719B1">
        <w:trPr>
          <w:trHeight w:val="270"/>
        </w:trPr>
        <w:tc>
          <w:tcPr>
            <w:tcW w:w="710" w:type="dxa"/>
          </w:tcPr>
          <w:p w14:paraId="7B1C3B5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51D8B2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5970AF2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52FD919D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64C81152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6A4D561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3ECD8B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42EA4E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223758C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6561531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61BCEA39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266993AA" w14:textId="77777777" w:rsidTr="000719B1">
        <w:trPr>
          <w:trHeight w:val="270"/>
        </w:trPr>
        <w:tc>
          <w:tcPr>
            <w:tcW w:w="710" w:type="dxa"/>
          </w:tcPr>
          <w:p w14:paraId="6F21C8F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E28D8E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Cs/>
                <w:sz w:val="20"/>
                <w:szCs w:val="20"/>
              </w:rPr>
              <w:t>Wartość za 24 m-</w:t>
            </w:r>
            <w:proofErr w:type="spellStart"/>
            <w:r w:rsidRPr="00616F52">
              <w:rPr>
                <w:rFonts w:ascii="Arial" w:hAnsi="Arial" w:cs="Arial"/>
                <w:bCs/>
                <w:sz w:val="20"/>
                <w:szCs w:val="20"/>
              </w:rPr>
              <w:t>cy</w:t>
            </w:r>
            <w:proofErr w:type="spellEnd"/>
            <w:r w:rsidRPr="00616F52">
              <w:rPr>
                <w:rFonts w:ascii="Arial" w:hAnsi="Arial" w:cs="Arial"/>
                <w:bCs/>
                <w:sz w:val="20"/>
                <w:szCs w:val="20"/>
              </w:rPr>
              <w:t xml:space="preserve"> dzierżawy </w:t>
            </w:r>
          </w:p>
        </w:tc>
        <w:tc>
          <w:tcPr>
            <w:tcW w:w="1134" w:type="dxa"/>
            <w:tcBorders>
              <w:tl2br w:val="single" w:sz="4" w:space="0" w:color="000000"/>
            </w:tcBorders>
          </w:tcPr>
          <w:p w14:paraId="00169A0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l2br w:val="single" w:sz="4" w:space="0" w:color="000000"/>
            </w:tcBorders>
          </w:tcPr>
          <w:p w14:paraId="7E1E9164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000000"/>
            </w:tcBorders>
          </w:tcPr>
          <w:p w14:paraId="75BCADA6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000000"/>
            </w:tcBorders>
          </w:tcPr>
          <w:p w14:paraId="625EBEC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C8B8E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A6B022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63EC33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0D443DE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6A3C4D2C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18D30871" w14:textId="77777777" w:rsidTr="000719B1">
        <w:trPr>
          <w:trHeight w:val="270"/>
        </w:trPr>
        <w:tc>
          <w:tcPr>
            <w:tcW w:w="7656" w:type="dxa"/>
            <w:gridSpan w:val="6"/>
          </w:tcPr>
          <w:p w14:paraId="3B52974E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  <w:r w:rsidRPr="00616F52">
              <w:rPr>
                <w:rFonts w:ascii="Arial" w:hAnsi="Arial" w:cs="Arial"/>
                <w:sz w:val="20"/>
                <w:szCs w:val="2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6" w:type="dxa"/>
          </w:tcPr>
          <w:p w14:paraId="6A836E2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F26318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745D917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1DA5F5D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02D3F7B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F78C2D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9497"/>
        <w:gridCol w:w="1843"/>
        <w:gridCol w:w="1883"/>
      </w:tblGrid>
      <w:tr w:rsidR="000A2B21" w:rsidRPr="005664A1" w14:paraId="7FBBE1EF" w14:textId="77777777" w:rsidTr="000719B1">
        <w:trPr>
          <w:trHeight w:val="906"/>
        </w:trPr>
        <w:tc>
          <w:tcPr>
            <w:tcW w:w="921" w:type="dxa"/>
            <w:shd w:val="clear" w:color="auto" w:fill="FBD4B4"/>
          </w:tcPr>
          <w:p w14:paraId="1DC982E0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L.p.</w:t>
            </w:r>
          </w:p>
        </w:tc>
        <w:tc>
          <w:tcPr>
            <w:tcW w:w="9497" w:type="dxa"/>
            <w:shd w:val="clear" w:color="auto" w:fill="FBD4B4"/>
          </w:tcPr>
          <w:p w14:paraId="56AE8DD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Wymagania</w:t>
            </w:r>
          </w:p>
        </w:tc>
        <w:tc>
          <w:tcPr>
            <w:tcW w:w="1843" w:type="dxa"/>
            <w:shd w:val="clear" w:color="auto" w:fill="FBD4B4"/>
          </w:tcPr>
          <w:p w14:paraId="0184290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Parametry wymagane-  warunek graniczny</w:t>
            </w:r>
          </w:p>
        </w:tc>
        <w:tc>
          <w:tcPr>
            <w:tcW w:w="1883" w:type="dxa"/>
            <w:shd w:val="clear" w:color="auto" w:fill="FBD4B4"/>
          </w:tcPr>
          <w:p w14:paraId="4625D22C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Potwierdzenie spełnienia warunku granicznego</w:t>
            </w:r>
          </w:p>
          <w:p w14:paraId="33FCAE6A" w14:textId="666392A4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(TAK, NIE)</w:t>
            </w:r>
          </w:p>
        </w:tc>
      </w:tr>
      <w:tr w:rsidR="000A2B21" w:rsidRPr="005664A1" w14:paraId="09A3C118" w14:textId="77777777" w:rsidTr="000719B1">
        <w:trPr>
          <w:trHeight w:val="817"/>
        </w:trPr>
        <w:tc>
          <w:tcPr>
            <w:tcW w:w="921" w:type="dxa"/>
          </w:tcPr>
          <w:p w14:paraId="65D78E53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97BF3C6" w14:textId="613CBB0D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Analizowane parametry fizyko-chemiczne moczu w testach paskowych: glukoza, bilirubina, ciała ketonowe, erytrocyty, </w:t>
            </w:r>
            <w:proofErr w:type="spellStart"/>
            <w:r w:rsidRPr="005664A1">
              <w:rPr>
                <w:rFonts w:ascii="Arial" w:hAnsi="Arial" w:cs="Arial"/>
              </w:rPr>
              <w:t>pH</w:t>
            </w:r>
            <w:proofErr w:type="spellEnd"/>
            <w:r w:rsidRPr="005664A1">
              <w:rPr>
                <w:rFonts w:ascii="Arial" w:hAnsi="Arial" w:cs="Arial"/>
              </w:rPr>
              <w:t>, białko, kwas askorbinowy, urobilinogen, azotyny, leukocyty, ciężar właściwy oznaczany metodą refraktometryczną,</w:t>
            </w:r>
          </w:p>
        </w:tc>
        <w:tc>
          <w:tcPr>
            <w:tcW w:w="1843" w:type="dxa"/>
          </w:tcPr>
          <w:p w14:paraId="4343C2CE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 xml:space="preserve">TAK </w:t>
            </w:r>
          </w:p>
        </w:tc>
        <w:tc>
          <w:tcPr>
            <w:tcW w:w="1883" w:type="dxa"/>
          </w:tcPr>
          <w:p w14:paraId="1995247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B0BEDCC" w14:textId="77777777" w:rsidTr="000719B1">
        <w:trPr>
          <w:trHeight w:val="849"/>
        </w:trPr>
        <w:tc>
          <w:tcPr>
            <w:tcW w:w="921" w:type="dxa"/>
          </w:tcPr>
          <w:p w14:paraId="6A33787A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3A1DA74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Automatyczne ilościowe oznaczanie co najmniej następujących elementów upostaciowanych moczu: erytrocyty, leukocyty, zlepy leukocytów, kryształy, bakterie, wałeczki szkliste, wałeczki inne, drożdże, plemniki, nabłonki płaskie, nabłonki okrągłe, śluz</w:t>
            </w:r>
          </w:p>
        </w:tc>
        <w:tc>
          <w:tcPr>
            <w:tcW w:w="1843" w:type="dxa"/>
          </w:tcPr>
          <w:p w14:paraId="034670D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406342F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25D995B" w14:textId="77777777" w:rsidTr="000719B1">
        <w:trPr>
          <w:trHeight w:val="552"/>
        </w:trPr>
        <w:tc>
          <w:tcPr>
            <w:tcW w:w="921" w:type="dxa"/>
          </w:tcPr>
          <w:p w14:paraId="53AE7836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674685E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Oprogramowanie zawierające dodatkowe kategorie definiowane przez użytkownika np. wałeczki tłuszczowe, </w:t>
            </w:r>
            <w:proofErr w:type="spellStart"/>
            <w:r w:rsidRPr="005664A1">
              <w:rPr>
                <w:rFonts w:ascii="Arial" w:hAnsi="Arial" w:cs="Arial"/>
              </w:rPr>
              <w:t>Trichomonas</w:t>
            </w:r>
            <w:proofErr w:type="spellEnd"/>
            <w:r w:rsidRPr="005664A1">
              <w:rPr>
                <w:rFonts w:ascii="Arial" w:hAnsi="Arial" w:cs="Arial"/>
              </w:rPr>
              <w:t>, określone kryształy – min 20 kategorii</w:t>
            </w:r>
          </w:p>
        </w:tc>
        <w:tc>
          <w:tcPr>
            <w:tcW w:w="1843" w:type="dxa"/>
          </w:tcPr>
          <w:p w14:paraId="178D054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180F69E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4F472866" w14:textId="77777777" w:rsidTr="000719B1">
        <w:trPr>
          <w:trHeight w:val="245"/>
        </w:trPr>
        <w:tc>
          <w:tcPr>
            <w:tcW w:w="921" w:type="dxa"/>
          </w:tcPr>
          <w:p w14:paraId="7BD10FDF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E5AD9B9" w14:textId="525255C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Możliwość wykonania pełnego badania moczu z próbki o objętości nie większej niż </w:t>
            </w:r>
            <w:r w:rsidR="002303D7" w:rsidRPr="005664A1">
              <w:rPr>
                <w:rFonts w:ascii="Arial" w:hAnsi="Arial" w:cs="Arial"/>
              </w:rPr>
              <w:t>4</w:t>
            </w:r>
            <w:r w:rsidRPr="005664A1">
              <w:rPr>
                <w:rFonts w:ascii="Arial" w:hAnsi="Arial" w:cs="Arial"/>
              </w:rPr>
              <w:t xml:space="preserve"> ml</w:t>
            </w:r>
          </w:p>
        </w:tc>
        <w:tc>
          <w:tcPr>
            <w:tcW w:w="1843" w:type="dxa"/>
          </w:tcPr>
          <w:p w14:paraId="1E5F3D7D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46C6AF7D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1E5E27F6" w14:textId="77777777" w:rsidTr="000719B1">
        <w:trPr>
          <w:trHeight w:val="350"/>
        </w:trPr>
        <w:tc>
          <w:tcPr>
            <w:tcW w:w="921" w:type="dxa"/>
          </w:tcPr>
          <w:p w14:paraId="77E5B0A9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1B73AE8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Kompleksowa analiza moczu bez konieczności wirowania próbki w trakcie procesu oznaczania</w:t>
            </w:r>
          </w:p>
        </w:tc>
        <w:tc>
          <w:tcPr>
            <w:tcW w:w="1843" w:type="dxa"/>
          </w:tcPr>
          <w:p w14:paraId="2D5BA55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2FE2798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B7DEC06" w14:textId="77777777" w:rsidTr="000719B1">
        <w:trPr>
          <w:trHeight w:val="854"/>
        </w:trPr>
        <w:tc>
          <w:tcPr>
            <w:tcW w:w="921" w:type="dxa"/>
          </w:tcPr>
          <w:p w14:paraId="1D2FC702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CF26BD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Moduł analizy elementów upostaciowanych wyposażony w podajnik automatyczny z wbudowanym czytnikiem kodów kreskowych na  min. 50 próbek ładowanych jednorazowo z możliwością doładowywania w trakcie pracy</w:t>
            </w:r>
          </w:p>
        </w:tc>
        <w:tc>
          <w:tcPr>
            <w:tcW w:w="1843" w:type="dxa"/>
          </w:tcPr>
          <w:p w14:paraId="0B21232E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114F5509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B0760" w:rsidRPr="005664A1" w14:paraId="43CBDAD9" w14:textId="77777777" w:rsidTr="003B0760">
        <w:trPr>
          <w:trHeight w:val="416"/>
        </w:trPr>
        <w:tc>
          <w:tcPr>
            <w:tcW w:w="921" w:type="dxa"/>
          </w:tcPr>
          <w:p w14:paraId="7647FBE5" w14:textId="77777777" w:rsidR="003B0760" w:rsidRPr="005664A1" w:rsidRDefault="003B0760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29765DF" w14:textId="0B187298" w:rsidR="003B0760" w:rsidRPr="005664A1" w:rsidRDefault="003B0760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Możliwość doładowywania kolejnych pasków bez konieczności zatrzymywania pracy analizatora</w:t>
            </w:r>
          </w:p>
        </w:tc>
        <w:tc>
          <w:tcPr>
            <w:tcW w:w="1843" w:type="dxa"/>
          </w:tcPr>
          <w:p w14:paraId="452BEDC2" w14:textId="77777777" w:rsidR="003B0760" w:rsidRPr="005664A1" w:rsidRDefault="003B0760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83" w:type="dxa"/>
          </w:tcPr>
          <w:p w14:paraId="414D0BD6" w14:textId="77777777" w:rsidR="003B0760" w:rsidRPr="005664A1" w:rsidRDefault="003B0760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303D7" w:rsidRPr="005664A1" w14:paraId="1BFFA763" w14:textId="77777777" w:rsidTr="002303D7">
        <w:trPr>
          <w:trHeight w:val="416"/>
        </w:trPr>
        <w:tc>
          <w:tcPr>
            <w:tcW w:w="921" w:type="dxa"/>
          </w:tcPr>
          <w:p w14:paraId="740A6A8B" w14:textId="77777777" w:rsidR="002303D7" w:rsidRPr="005664A1" w:rsidRDefault="002303D7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EA65B1F" w14:textId="45D01A9B" w:rsidR="002303D7" w:rsidRPr="005664A1" w:rsidRDefault="002303D7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Możliwość analizy płynów z jam ciała</w:t>
            </w:r>
          </w:p>
        </w:tc>
        <w:tc>
          <w:tcPr>
            <w:tcW w:w="1843" w:type="dxa"/>
          </w:tcPr>
          <w:p w14:paraId="5F029225" w14:textId="5B41CE49" w:rsidR="002303D7" w:rsidRPr="005664A1" w:rsidRDefault="002303D7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0AD8623" w14:textId="77777777" w:rsidR="002303D7" w:rsidRPr="005664A1" w:rsidRDefault="002303D7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12B4FFB" w14:textId="77777777" w:rsidTr="000719B1">
        <w:trPr>
          <w:trHeight w:val="414"/>
        </w:trPr>
        <w:tc>
          <w:tcPr>
            <w:tcW w:w="921" w:type="dxa"/>
          </w:tcPr>
          <w:p w14:paraId="18D46D09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867B75B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Automatyczna analiza minimum 500 wykonanych fotografii mikroskopowych dla każdej próbki</w:t>
            </w:r>
          </w:p>
        </w:tc>
        <w:tc>
          <w:tcPr>
            <w:tcW w:w="1843" w:type="dxa"/>
          </w:tcPr>
          <w:p w14:paraId="2DF1E3AB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33B7E72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8C11C08" w14:textId="77777777" w:rsidTr="0085449E">
        <w:trPr>
          <w:trHeight w:val="548"/>
        </w:trPr>
        <w:tc>
          <w:tcPr>
            <w:tcW w:w="921" w:type="dxa"/>
          </w:tcPr>
          <w:p w14:paraId="65A82C58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7FBA15D7" w14:textId="32BB30A0" w:rsidR="000A2B21" w:rsidRPr="005664A1" w:rsidRDefault="000A2B21" w:rsidP="000719B1">
            <w:pPr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W przypadku awarii jednego z modułów możliwość wykonania drugiej części badania (pasek, osad) </w:t>
            </w:r>
            <w:r w:rsidR="008B4ABA" w:rsidRPr="005664A1">
              <w:rPr>
                <w:rFonts w:ascii="Arial" w:hAnsi="Arial" w:cs="Arial"/>
              </w:rPr>
              <w:t>– osobne igły pipetujące</w:t>
            </w:r>
          </w:p>
        </w:tc>
        <w:tc>
          <w:tcPr>
            <w:tcW w:w="1843" w:type="dxa"/>
          </w:tcPr>
          <w:p w14:paraId="20E4CC33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47A740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A8E2C58" w14:textId="77777777" w:rsidTr="000719B1">
        <w:trPr>
          <w:trHeight w:val="408"/>
        </w:trPr>
        <w:tc>
          <w:tcPr>
            <w:tcW w:w="921" w:type="dxa"/>
          </w:tcPr>
          <w:p w14:paraId="535D5EA8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005479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Brak konieczności stosowania jednorazowych kuwet lub naczynek reakcyjnych</w:t>
            </w:r>
          </w:p>
        </w:tc>
        <w:tc>
          <w:tcPr>
            <w:tcW w:w="1843" w:type="dxa"/>
          </w:tcPr>
          <w:p w14:paraId="25996A84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99815E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233B9A7F" w14:textId="77777777" w:rsidTr="000719B1">
        <w:trPr>
          <w:trHeight w:val="567"/>
        </w:trPr>
        <w:tc>
          <w:tcPr>
            <w:tcW w:w="921" w:type="dxa"/>
          </w:tcPr>
          <w:p w14:paraId="2B48007D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0447910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Odczynniki i oprogramowanie umożliwiające prowadzenie codziennej kontroli jakości wykonywanych analiz</w:t>
            </w:r>
          </w:p>
        </w:tc>
        <w:tc>
          <w:tcPr>
            <w:tcW w:w="1843" w:type="dxa"/>
          </w:tcPr>
          <w:p w14:paraId="4894912A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691D240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53EB5CFF" w14:textId="77777777" w:rsidTr="000719B1">
        <w:trPr>
          <w:trHeight w:val="592"/>
        </w:trPr>
        <w:tc>
          <w:tcPr>
            <w:tcW w:w="921" w:type="dxa"/>
          </w:tcPr>
          <w:p w14:paraId="40A2CB49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05D7E7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Wszystkie analizatory, odczynniki, paski testowe, kontrole, kalibratory, płyny myjące pochodzące od tego samego producenta</w:t>
            </w:r>
          </w:p>
        </w:tc>
        <w:tc>
          <w:tcPr>
            <w:tcW w:w="1843" w:type="dxa"/>
          </w:tcPr>
          <w:p w14:paraId="5DCA92D8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3F7057F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61C5251B" w14:textId="77777777" w:rsidTr="000719B1">
        <w:trPr>
          <w:trHeight w:val="592"/>
        </w:trPr>
        <w:tc>
          <w:tcPr>
            <w:tcW w:w="921" w:type="dxa"/>
          </w:tcPr>
          <w:p w14:paraId="5A4B2B96" w14:textId="77777777" w:rsidR="005664A1" w:rsidRPr="005664A1" w:rsidRDefault="005664A1" w:rsidP="005664A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0D3FF79" w14:textId="5C957D56" w:rsidR="005664A1" w:rsidRPr="005664A1" w:rsidRDefault="005664A1" w:rsidP="005664A1">
            <w:pPr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Odczynniki, paski testowe, kontrole, kalibratory, płyny myjące dostarczane w postaci gotowej do użycia (bez konieczności wstępnego przygotowania)</w:t>
            </w:r>
          </w:p>
        </w:tc>
        <w:tc>
          <w:tcPr>
            <w:tcW w:w="1843" w:type="dxa"/>
          </w:tcPr>
          <w:p w14:paraId="2FFC809A" w14:textId="3B26E2AD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04DE5DE7" w14:textId="77777777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32E3D610" w14:textId="77777777" w:rsidTr="005664A1">
        <w:trPr>
          <w:trHeight w:val="353"/>
        </w:trPr>
        <w:tc>
          <w:tcPr>
            <w:tcW w:w="921" w:type="dxa"/>
          </w:tcPr>
          <w:p w14:paraId="61B45BDA" w14:textId="77777777" w:rsidR="005664A1" w:rsidRPr="005664A1" w:rsidRDefault="005664A1" w:rsidP="005664A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F34B6E0" w14:textId="0CFAC414" w:rsidR="005664A1" w:rsidRPr="005664A1" w:rsidRDefault="005664A1" w:rsidP="005664A1">
            <w:pPr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Oprogramowanie umożliwiające weryfikację wyniku przed wysłaniem do LIS</w:t>
            </w:r>
          </w:p>
        </w:tc>
        <w:tc>
          <w:tcPr>
            <w:tcW w:w="1843" w:type="dxa"/>
          </w:tcPr>
          <w:p w14:paraId="045892CF" w14:textId="5DD2DFDC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504C419" w14:textId="77777777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D219E99" w14:textId="77777777" w:rsidTr="000719B1">
        <w:trPr>
          <w:trHeight w:val="418"/>
        </w:trPr>
        <w:tc>
          <w:tcPr>
            <w:tcW w:w="921" w:type="dxa"/>
          </w:tcPr>
          <w:p w14:paraId="075B7A4E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B6FC9BE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System podtrzymywania zasilania UPS (na minimum 15 minut)</w:t>
            </w:r>
          </w:p>
        </w:tc>
        <w:tc>
          <w:tcPr>
            <w:tcW w:w="1843" w:type="dxa"/>
          </w:tcPr>
          <w:p w14:paraId="6A9B5BD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51EE41A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9D6B2BC" w14:textId="77777777" w:rsidTr="000719B1">
        <w:trPr>
          <w:trHeight w:val="432"/>
        </w:trPr>
        <w:tc>
          <w:tcPr>
            <w:tcW w:w="921" w:type="dxa"/>
          </w:tcPr>
          <w:p w14:paraId="3DCE35AA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AED8BC2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Instrukcje obsługi w języku polskim</w:t>
            </w:r>
          </w:p>
        </w:tc>
        <w:tc>
          <w:tcPr>
            <w:tcW w:w="1843" w:type="dxa"/>
          </w:tcPr>
          <w:p w14:paraId="76175283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77C55EE7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03CC326F" w14:textId="77777777" w:rsidTr="000719B1">
        <w:trPr>
          <w:trHeight w:val="318"/>
        </w:trPr>
        <w:tc>
          <w:tcPr>
            <w:tcW w:w="921" w:type="dxa"/>
          </w:tcPr>
          <w:p w14:paraId="6C93C902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7C935572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Ważność odczynników – co najmniej 3 miesiące od momentu dostawy</w:t>
            </w:r>
          </w:p>
        </w:tc>
        <w:tc>
          <w:tcPr>
            <w:tcW w:w="1843" w:type="dxa"/>
          </w:tcPr>
          <w:p w14:paraId="3B420334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E81C76A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79141456" w14:textId="77777777" w:rsidTr="000719B1">
        <w:trPr>
          <w:trHeight w:val="454"/>
        </w:trPr>
        <w:tc>
          <w:tcPr>
            <w:tcW w:w="921" w:type="dxa"/>
          </w:tcPr>
          <w:p w14:paraId="4BB788CA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B079DA0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Wymiana urządzenia w razie 3 awarii tego samego podzespołu</w:t>
            </w:r>
          </w:p>
        </w:tc>
        <w:tc>
          <w:tcPr>
            <w:tcW w:w="1843" w:type="dxa"/>
          </w:tcPr>
          <w:p w14:paraId="4E36E0B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2A577AF0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6CC8ED3A" w14:textId="77777777" w:rsidTr="000719B1">
        <w:trPr>
          <w:trHeight w:val="256"/>
        </w:trPr>
        <w:tc>
          <w:tcPr>
            <w:tcW w:w="921" w:type="dxa"/>
          </w:tcPr>
          <w:p w14:paraId="125D2E91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1BD025F4" w14:textId="4EDCA36F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Wykonawca zapewni szkolenie w pełnym zakresie niezbędnym do poprawnej obsługi analizatora dla osób wskazanych przez Kierownika Laboratorium</w:t>
            </w:r>
            <w:r w:rsidR="0032167E" w:rsidRPr="005664A1">
              <w:rPr>
                <w:rFonts w:ascii="Arial" w:hAnsi="Arial" w:cs="Arial"/>
              </w:rPr>
              <w:t xml:space="preserve"> w trakcie trwania umowy</w:t>
            </w:r>
          </w:p>
        </w:tc>
        <w:tc>
          <w:tcPr>
            <w:tcW w:w="1843" w:type="dxa"/>
          </w:tcPr>
          <w:p w14:paraId="1B4CBABD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9A4A7DE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0F49AE32" w14:textId="77777777" w:rsidTr="000719B1">
        <w:trPr>
          <w:trHeight w:val="484"/>
        </w:trPr>
        <w:tc>
          <w:tcPr>
            <w:tcW w:w="921" w:type="dxa"/>
          </w:tcPr>
          <w:p w14:paraId="7341B464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3AB256F1" w14:textId="00BB119B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Wykonawca zapewni własnym staraniem i kosztem przyłączenie analizator</w:t>
            </w:r>
            <w:r w:rsidR="0032167E" w:rsidRPr="005664A1">
              <w:rPr>
                <w:rFonts w:ascii="Arial" w:hAnsi="Arial" w:cs="Arial"/>
              </w:rPr>
              <w:t>ów</w:t>
            </w:r>
            <w:r w:rsidRPr="005664A1">
              <w:rPr>
                <w:rFonts w:ascii="Arial" w:hAnsi="Arial" w:cs="Arial"/>
              </w:rPr>
              <w:t xml:space="preserve"> do informatycznej sieci szpitala, umożliwiające tzw. dwustronną komunikację, w czasie nie dłuższym niż </w:t>
            </w:r>
            <w:r w:rsidR="0032167E" w:rsidRPr="005664A1">
              <w:rPr>
                <w:rFonts w:ascii="Arial" w:hAnsi="Arial" w:cs="Arial"/>
              </w:rPr>
              <w:t>5</w:t>
            </w:r>
            <w:r w:rsidRPr="005664A1">
              <w:rPr>
                <w:rFonts w:ascii="Arial" w:hAnsi="Arial" w:cs="Arial"/>
              </w:rPr>
              <w:t xml:space="preserve"> dni robocze od instalacji  analizatorów</w:t>
            </w:r>
          </w:p>
        </w:tc>
        <w:tc>
          <w:tcPr>
            <w:tcW w:w="1843" w:type="dxa"/>
          </w:tcPr>
          <w:p w14:paraId="66BE23B4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276CAD8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7D9100C1" w14:textId="77777777" w:rsidTr="000719B1">
        <w:trPr>
          <w:trHeight w:val="484"/>
        </w:trPr>
        <w:tc>
          <w:tcPr>
            <w:tcW w:w="921" w:type="dxa"/>
          </w:tcPr>
          <w:p w14:paraId="18AC76B4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B529642" w14:textId="7D13248D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Wykonawca udzieli gwarancji na dzierżawiony analizator na cały okres trwania umowy (przeglądy gwarancyjne i naprawy wraz z częściami zamiennymi – na koszt Wykonawcy). Czas reakcji serwisu: do 24h. Serwis gwarantowany bezpośrednio przez </w:t>
            </w:r>
            <w:r w:rsidR="002E1BF4" w:rsidRPr="005664A1">
              <w:rPr>
                <w:rFonts w:ascii="Arial" w:hAnsi="Arial" w:cs="Arial"/>
              </w:rPr>
              <w:t>producenta analizatorów</w:t>
            </w:r>
          </w:p>
        </w:tc>
        <w:tc>
          <w:tcPr>
            <w:tcW w:w="1843" w:type="dxa"/>
          </w:tcPr>
          <w:p w14:paraId="1A5B24AA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359A5A8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75C22B83" w14:textId="77777777" w:rsidTr="000719B1">
        <w:trPr>
          <w:trHeight w:val="484"/>
        </w:trPr>
        <w:tc>
          <w:tcPr>
            <w:tcW w:w="921" w:type="dxa"/>
          </w:tcPr>
          <w:p w14:paraId="3ED6E007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45D4662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Wykonawca zapewni bezpłatną instalację analizatora wraz z niezbędnymi przyłączami </w:t>
            </w:r>
          </w:p>
        </w:tc>
        <w:tc>
          <w:tcPr>
            <w:tcW w:w="1843" w:type="dxa"/>
          </w:tcPr>
          <w:p w14:paraId="1961EF47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D2529D1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09750843" w14:textId="77777777" w:rsidTr="000719B1">
        <w:trPr>
          <w:trHeight w:val="484"/>
        </w:trPr>
        <w:tc>
          <w:tcPr>
            <w:tcW w:w="921" w:type="dxa"/>
          </w:tcPr>
          <w:p w14:paraId="350C32B5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300215CF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Wykonawca zapewni demontaż i odbiór urządzenia w czasie nie dłuższym niż 28 dni od zakończenia obowiązywania umowy</w:t>
            </w:r>
          </w:p>
        </w:tc>
        <w:tc>
          <w:tcPr>
            <w:tcW w:w="1843" w:type="dxa"/>
          </w:tcPr>
          <w:p w14:paraId="5B0B67A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F959B55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27E3C38" w14:textId="77777777" w:rsidTr="000719B1">
        <w:trPr>
          <w:trHeight w:val="484"/>
        </w:trPr>
        <w:tc>
          <w:tcPr>
            <w:tcW w:w="921" w:type="dxa"/>
          </w:tcPr>
          <w:p w14:paraId="69CAB9E5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214A71F1" w14:textId="1BC35E43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Wykonawca dostarczy, na etapie zawarcia umowy, w formie elektronicznej lub pisemnej karty </w:t>
            </w:r>
            <w:r w:rsidRPr="005664A1">
              <w:rPr>
                <w:rFonts w:ascii="Arial" w:hAnsi="Arial" w:cs="Arial"/>
              </w:rPr>
              <w:lastRenderedPageBreak/>
              <w:t>charakterystyki substancji niebezpiecznych, spełniające wymagania</w:t>
            </w:r>
            <w:r w:rsidR="002E1BF4" w:rsidRPr="005664A1">
              <w:rPr>
                <w:rFonts w:ascii="Arial" w:hAnsi="Arial" w:cs="Arial"/>
              </w:rPr>
              <w:t xml:space="preserve"> r</w:t>
            </w:r>
            <w:r w:rsidRPr="005664A1">
              <w:rPr>
                <w:rFonts w:ascii="Arial" w:hAnsi="Arial" w:cs="Arial"/>
              </w:rPr>
              <w:t xml:space="preserve">ozporządzenia </w:t>
            </w:r>
            <w:r w:rsidR="002E1BF4" w:rsidRPr="005664A1">
              <w:rPr>
                <w:rFonts w:ascii="Arial" w:hAnsi="Arial" w:cs="Arial"/>
              </w:rPr>
              <w:t>2020/878/UE</w:t>
            </w:r>
          </w:p>
        </w:tc>
        <w:tc>
          <w:tcPr>
            <w:tcW w:w="1843" w:type="dxa"/>
          </w:tcPr>
          <w:p w14:paraId="4001E5AB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lastRenderedPageBreak/>
              <w:t>TAK</w:t>
            </w:r>
          </w:p>
        </w:tc>
        <w:tc>
          <w:tcPr>
            <w:tcW w:w="1883" w:type="dxa"/>
          </w:tcPr>
          <w:p w14:paraId="23D4B707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385A7323" w14:textId="77777777" w:rsidTr="000719B1">
        <w:trPr>
          <w:trHeight w:val="484"/>
        </w:trPr>
        <w:tc>
          <w:tcPr>
            <w:tcW w:w="921" w:type="dxa"/>
          </w:tcPr>
          <w:p w14:paraId="2FD8FE6C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32A5330D" w14:textId="77777777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Na wniosek Kierownika Zakładu/zastępcy Kierownika Zakładu/Kierownika Pracowni Badań Rutynowych, w razie problemów technicznych/merytorycznych oferent zobowiązuje się do zorganizowania wizyty przedstawiciela handlowego/naukowego/ /pracownika serwisu</w:t>
            </w:r>
          </w:p>
        </w:tc>
        <w:tc>
          <w:tcPr>
            <w:tcW w:w="1843" w:type="dxa"/>
          </w:tcPr>
          <w:p w14:paraId="06A44DF2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84EF6AF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2B21" w:rsidRPr="005664A1" w14:paraId="775A5AF0" w14:textId="77777777" w:rsidTr="000719B1">
        <w:trPr>
          <w:trHeight w:val="484"/>
        </w:trPr>
        <w:tc>
          <w:tcPr>
            <w:tcW w:w="921" w:type="dxa"/>
          </w:tcPr>
          <w:p w14:paraId="00FFDE36" w14:textId="77777777" w:rsidR="000A2B21" w:rsidRPr="005664A1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72FC5E95" w14:textId="2A863593" w:rsidR="000A2B21" w:rsidRPr="005664A1" w:rsidRDefault="000A2B2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Wykonawca </w:t>
            </w:r>
            <w:r w:rsidR="00176BC3" w:rsidRPr="005664A1">
              <w:rPr>
                <w:rFonts w:ascii="Arial" w:hAnsi="Arial" w:cs="Arial"/>
              </w:rPr>
              <w:t xml:space="preserve">zapewni (na własny koszt) udział w kontroli zewnętrznej „mocz – badanie ogólne” (np. </w:t>
            </w:r>
            <w:proofErr w:type="spellStart"/>
            <w:r w:rsidR="00176BC3" w:rsidRPr="005664A1">
              <w:rPr>
                <w:rFonts w:ascii="Arial" w:hAnsi="Arial" w:cs="Arial"/>
              </w:rPr>
              <w:t>LabQuality</w:t>
            </w:r>
            <w:proofErr w:type="spellEnd"/>
            <w:r w:rsidR="00176BC3" w:rsidRPr="005664A1">
              <w:rPr>
                <w:rFonts w:ascii="Arial" w:hAnsi="Arial" w:cs="Arial"/>
              </w:rPr>
              <w:t>) nie rzadziej niż 1 x w roku w trakcie trwania umowy</w:t>
            </w:r>
          </w:p>
        </w:tc>
        <w:tc>
          <w:tcPr>
            <w:tcW w:w="1843" w:type="dxa"/>
          </w:tcPr>
          <w:p w14:paraId="56C5775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707FF156" w14:textId="77777777" w:rsidR="000A2B21" w:rsidRPr="005664A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7ECD1498" w14:textId="77777777" w:rsidTr="0085449E">
        <w:trPr>
          <w:trHeight w:val="315"/>
        </w:trPr>
        <w:tc>
          <w:tcPr>
            <w:tcW w:w="921" w:type="dxa"/>
            <w:vMerge w:val="restart"/>
          </w:tcPr>
          <w:p w14:paraId="605F9C33" w14:textId="77777777" w:rsidR="005664A1" w:rsidRPr="005664A1" w:rsidRDefault="005664A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4EF849D6" w14:textId="1C58796D" w:rsidR="005664A1" w:rsidRPr="005664A1" w:rsidRDefault="005664A1" w:rsidP="000719B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Wykonawca dostarczy dodatkowo: </w:t>
            </w:r>
          </w:p>
        </w:tc>
        <w:tc>
          <w:tcPr>
            <w:tcW w:w="1843" w:type="dxa"/>
          </w:tcPr>
          <w:p w14:paraId="26357381" w14:textId="77777777" w:rsidR="005664A1" w:rsidRPr="005664A1" w:rsidRDefault="005664A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6B9CF0C1" w14:textId="77777777" w:rsidR="005664A1" w:rsidRPr="005664A1" w:rsidRDefault="005664A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5747B61B" w14:textId="77777777" w:rsidTr="000719B1">
        <w:trPr>
          <w:trHeight w:val="484"/>
        </w:trPr>
        <w:tc>
          <w:tcPr>
            <w:tcW w:w="921" w:type="dxa"/>
            <w:vMerge/>
          </w:tcPr>
          <w:p w14:paraId="64F61FCA" w14:textId="77777777" w:rsidR="005664A1" w:rsidRPr="005664A1" w:rsidRDefault="005664A1" w:rsidP="005664A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512E8284" w14:textId="09370006" w:rsidR="005664A1" w:rsidRPr="005664A1" w:rsidRDefault="005664A1" w:rsidP="005664A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 xml:space="preserve">a) lodówko-zamrażarkę 180-190 cm wysokości, 55-60 cm szerokości oraz 60-65 cm głębokości z dolnym zamrażalnikiem, z systemem „no </w:t>
            </w:r>
            <w:proofErr w:type="spellStart"/>
            <w:r w:rsidRPr="005664A1">
              <w:rPr>
                <w:rFonts w:ascii="Arial" w:hAnsi="Arial" w:cs="Arial"/>
              </w:rPr>
              <w:t>frost</w:t>
            </w:r>
            <w:proofErr w:type="spellEnd"/>
            <w:r w:rsidRPr="005664A1">
              <w:rPr>
                <w:rFonts w:ascii="Arial" w:hAnsi="Arial" w:cs="Arial"/>
              </w:rPr>
              <w:t>”</w:t>
            </w:r>
          </w:p>
        </w:tc>
        <w:tc>
          <w:tcPr>
            <w:tcW w:w="1843" w:type="dxa"/>
          </w:tcPr>
          <w:p w14:paraId="0051DEA5" w14:textId="59A7FD0E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5FD70780" w14:textId="77777777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64A1" w:rsidRPr="005664A1" w14:paraId="2D377051" w14:textId="77777777" w:rsidTr="000719B1">
        <w:trPr>
          <w:trHeight w:val="484"/>
        </w:trPr>
        <w:tc>
          <w:tcPr>
            <w:tcW w:w="921" w:type="dxa"/>
            <w:vMerge/>
          </w:tcPr>
          <w:p w14:paraId="2627EC2A" w14:textId="77777777" w:rsidR="005664A1" w:rsidRPr="005664A1" w:rsidRDefault="005664A1" w:rsidP="005664A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497" w:type="dxa"/>
          </w:tcPr>
          <w:p w14:paraId="649BCC1D" w14:textId="5D1615C1" w:rsidR="005664A1" w:rsidRPr="005664A1" w:rsidRDefault="005664A1" w:rsidP="005664A1">
            <w:pPr>
              <w:spacing w:after="0" w:line="240" w:lineRule="auto"/>
              <w:rPr>
                <w:rFonts w:ascii="Arial" w:hAnsi="Arial" w:cs="Arial"/>
              </w:rPr>
            </w:pPr>
            <w:r w:rsidRPr="005664A1">
              <w:rPr>
                <w:rFonts w:ascii="Arial" w:hAnsi="Arial" w:cs="Arial"/>
              </w:rPr>
              <w:t>b) 220 kamer z siatką (typu „</w:t>
            </w:r>
            <w:proofErr w:type="spellStart"/>
            <w:r w:rsidRPr="005664A1">
              <w:rPr>
                <w:rFonts w:ascii="Arial" w:hAnsi="Arial" w:cs="Arial"/>
              </w:rPr>
              <w:t>Pentasquare</w:t>
            </w:r>
            <w:proofErr w:type="spellEnd"/>
            <w:r w:rsidRPr="005664A1">
              <w:rPr>
                <w:rFonts w:ascii="Arial" w:hAnsi="Arial" w:cs="Arial"/>
              </w:rPr>
              <w:t>”) do analizy elementów upostaciowanych moczu</w:t>
            </w:r>
          </w:p>
        </w:tc>
        <w:tc>
          <w:tcPr>
            <w:tcW w:w="1843" w:type="dxa"/>
          </w:tcPr>
          <w:p w14:paraId="47F271F7" w14:textId="1CA3D99B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664A1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1883" w:type="dxa"/>
          </w:tcPr>
          <w:p w14:paraId="3B0AED1E" w14:textId="77777777" w:rsidR="005664A1" w:rsidRPr="005664A1" w:rsidRDefault="005664A1" w:rsidP="005664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1C9C0E6C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E1FACF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5FAC2B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5CC6B6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400CD6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839239D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3182EE1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>………………….. dnia ……………………….</w:t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  <w:t>…………………………………………..</w:t>
      </w:r>
    </w:p>
    <w:p w14:paraId="11CB367F" w14:textId="77777777" w:rsidR="000A2B21" w:rsidRPr="00616F52" w:rsidRDefault="000A2B21" w:rsidP="000A2B21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</w:p>
    <w:p w14:paraId="3BF667ED" w14:textId="7D094EF1" w:rsidR="000A2B21" w:rsidRPr="00616F52" w:rsidRDefault="00BD7905" w:rsidP="000A2B2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</w:t>
      </w:r>
      <w:r w:rsidR="000A2B21" w:rsidRPr="00616F52">
        <w:rPr>
          <w:rFonts w:ascii="Arial" w:hAnsi="Arial" w:cs="Arial"/>
          <w:sz w:val="20"/>
          <w:szCs w:val="20"/>
        </w:rPr>
        <w:t xml:space="preserve">podpis </w:t>
      </w:r>
    </w:p>
    <w:p w14:paraId="76FDB501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E15D342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6567A66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EA2526D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441025B" w14:textId="77777777" w:rsidR="000A2B21" w:rsidRPr="00616F52" w:rsidRDefault="000A2B21" w:rsidP="000A2B21">
      <w:pPr>
        <w:rPr>
          <w:b/>
          <w:sz w:val="24"/>
          <w:szCs w:val="24"/>
        </w:rPr>
      </w:pPr>
    </w:p>
    <w:p w14:paraId="3A6B5B1F" w14:textId="43937620" w:rsidR="003B3DEC" w:rsidRDefault="003B3DEC" w:rsidP="000D04FF">
      <w:pPr>
        <w:spacing w:after="0" w:line="240" w:lineRule="auto"/>
        <w:ind w:left="8496"/>
      </w:pPr>
    </w:p>
    <w:p w14:paraId="0B277681" w14:textId="03F9F448" w:rsidR="003B3DEC" w:rsidRDefault="003B3DEC" w:rsidP="000D04FF">
      <w:pPr>
        <w:spacing w:after="0" w:line="240" w:lineRule="auto"/>
        <w:ind w:left="8496"/>
      </w:pPr>
    </w:p>
    <w:p w14:paraId="271D1139" w14:textId="77777777" w:rsidR="003B3DEC" w:rsidRDefault="003B3DEC" w:rsidP="000D04FF">
      <w:pPr>
        <w:spacing w:after="0" w:line="240" w:lineRule="auto"/>
        <w:ind w:left="8496"/>
      </w:pPr>
    </w:p>
    <w:sectPr w:rsidR="003B3DEC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6A188CAC"/>
    <w:lvl w:ilvl="0" w:tplc="20A2449C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3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4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8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1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0"/>
  </w:num>
  <w:num w:numId="26" w16cid:durableId="16398257">
    <w:abstractNumId w:val="17"/>
  </w:num>
  <w:num w:numId="27" w16cid:durableId="377165800">
    <w:abstractNumId w:val="19"/>
  </w:num>
  <w:num w:numId="28" w16cid:durableId="1344088480">
    <w:abstractNumId w:val="22"/>
  </w:num>
  <w:num w:numId="29" w16cid:durableId="150802881">
    <w:abstractNumId w:val="1"/>
  </w:num>
  <w:num w:numId="30" w16cid:durableId="18608554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01566"/>
    <w:rsid w:val="00017693"/>
    <w:rsid w:val="00030239"/>
    <w:rsid w:val="00037BE0"/>
    <w:rsid w:val="00042BE3"/>
    <w:rsid w:val="0004587E"/>
    <w:rsid w:val="000469D9"/>
    <w:rsid w:val="00063702"/>
    <w:rsid w:val="00074FF9"/>
    <w:rsid w:val="00082FF6"/>
    <w:rsid w:val="00091BD9"/>
    <w:rsid w:val="00093C73"/>
    <w:rsid w:val="00097D9C"/>
    <w:rsid w:val="000A1F08"/>
    <w:rsid w:val="000A2B21"/>
    <w:rsid w:val="000C42E0"/>
    <w:rsid w:val="000D04FF"/>
    <w:rsid w:val="000D5945"/>
    <w:rsid w:val="000F66C3"/>
    <w:rsid w:val="00106070"/>
    <w:rsid w:val="0014760E"/>
    <w:rsid w:val="0015679F"/>
    <w:rsid w:val="00170600"/>
    <w:rsid w:val="00176BC3"/>
    <w:rsid w:val="00193848"/>
    <w:rsid w:val="00195155"/>
    <w:rsid w:val="001A6B67"/>
    <w:rsid w:val="001C67DB"/>
    <w:rsid w:val="001D392D"/>
    <w:rsid w:val="001D5695"/>
    <w:rsid w:val="001E1179"/>
    <w:rsid w:val="001F7B96"/>
    <w:rsid w:val="002020D7"/>
    <w:rsid w:val="00221A41"/>
    <w:rsid w:val="002242F8"/>
    <w:rsid w:val="002303D7"/>
    <w:rsid w:val="00231159"/>
    <w:rsid w:val="00236298"/>
    <w:rsid w:val="00243822"/>
    <w:rsid w:val="00246B4D"/>
    <w:rsid w:val="00247A0C"/>
    <w:rsid w:val="002548E0"/>
    <w:rsid w:val="002B1DCC"/>
    <w:rsid w:val="002B7F74"/>
    <w:rsid w:val="002E1BF4"/>
    <w:rsid w:val="002E6BF6"/>
    <w:rsid w:val="00316D0D"/>
    <w:rsid w:val="0032167E"/>
    <w:rsid w:val="00326D02"/>
    <w:rsid w:val="003313C4"/>
    <w:rsid w:val="00337BCC"/>
    <w:rsid w:val="00362CC0"/>
    <w:rsid w:val="00380E9C"/>
    <w:rsid w:val="003826F0"/>
    <w:rsid w:val="00385B86"/>
    <w:rsid w:val="00395A55"/>
    <w:rsid w:val="003A475B"/>
    <w:rsid w:val="003B05B6"/>
    <w:rsid w:val="003B0760"/>
    <w:rsid w:val="003B3DEC"/>
    <w:rsid w:val="003E7A9C"/>
    <w:rsid w:val="004052E7"/>
    <w:rsid w:val="004064F1"/>
    <w:rsid w:val="00431C76"/>
    <w:rsid w:val="0045295B"/>
    <w:rsid w:val="00460225"/>
    <w:rsid w:val="00471449"/>
    <w:rsid w:val="004A411C"/>
    <w:rsid w:val="004B1ECF"/>
    <w:rsid w:val="004C125C"/>
    <w:rsid w:val="004F69C6"/>
    <w:rsid w:val="00506A07"/>
    <w:rsid w:val="00507562"/>
    <w:rsid w:val="0051516D"/>
    <w:rsid w:val="005352E1"/>
    <w:rsid w:val="00550B0C"/>
    <w:rsid w:val="00552EEA"/>
    <w:rsid w:val="00565A5C"/>
    <w:rsid w:val="005664A1"/>
    <w:rsid w:val="0057434F"/>
    <w:rsid w:val="005769CE"/>
    <w:rsid w:val="005840E8"/>
    <w:rsid w:val="00590461"/>
    <w:rsid w:val="005B62EA"/>
    <w:rsid w:val="005D6BE3"/>
    <w:rsid w:val="00600341"/>
    <w:rsid w:val="00612865"/>
    <w:rsid w:val="006313B8"/>
    <w:rsid w:val="00652D0D"/>
    <w:rsid w:val="0066118D"/>
    <w:rsid w:val="00661773"/>
    <w:rsid w:val="0067010B"/>
    <w:rsid w:val="00673922"/>
    <w:rsid w:val="00673A8B"/>
    <w:rsid w:val="0067799A"/>
    <w:rsid w:val="00696910"/>
    <w:rsid w:val="006A429E"/>
    <w:rsid w:val="006C433F"/>
    <w:rsid w:val="006E63B1"/>
    <w:rsid w:val="006E75A0"/>
    <w:rsid w:val="00707787"/>
    <w:rsid w:val="00752AF1"/>
    <w:rsid w:val="007A7E00"/>
    <w:rsid w:val="007B5559"/>
    <w:rsid w:val="007E31C3"/>
    <w:rsid w:val="007F51A7"/>
    <w:rsid w:val="00816084"/>
    <w:rsid w:val="0085449E"/>
    <w:rsid w:val="00855F2B"/>
    <w:rsid w:val="008655CC"/>
    <w:rsid w:val="008718CB"/>
    <w:rsid w:val="008771C3"/>
    <w:rsid w:val="008A4A66"/>
    <w:rsid w:val="008A7314"/>
    <w:rsid w:val="008B4ABA"/>
    <w:rsid w:val="008C34F2"/>
    <w:rsid w:val="008C7918"/>
    <w:rsid w:val="008D4967"/>
    <w:rsid w:val="008F2BCB"/>
    <w:rsid w:val="00922A4E"/>
    <w:rsid w:val="00932467"/>
    <w:rsid w:val="00935211"/>
    <w:rsid w:val="00941C91"/>
    <w:rsid w:val="00944B16"/>
    <w:rsid w:val="00946C15"/>
    <w:rsid w:val="009813F1"/>
    <w:rsid w:val="00982789"/>
    <w:rsid w:val="009B316F"/>
    <w:rsid w:val="009C0405"/>
    <w:rsid w:val="009D1CB8"/>
    <w:rsid w:val="009F2857"/>
    <w:rsid w:val="009F56DD"/>
    <w:rsid w:val="00A161CD"/>
    <w:rsid w:val="00A20BF3"/>
    <w:rsid w:val="00A41ABB"/>
    <w:rsid w:val="00A61B3B"/>
    <w:rsid w:val="00A725BB"/>
    <w:rsid w:val="00A74CD8"/>
    <w:rsid w:val="00A841DC"/>
    <w:rsid w:val="00AA2807"/>
    <w:rsid w:val="00AA5DAE"/>
    <w:rsid w:val="00AB272F"/>
    <w:rsid w:val="00AD4F41"/>
    <w:rsid w:val="00AF47EF"/>
    <w:rsid w:val="00B01720"/>
    <w:rsid w:val="00B4507A"/>
    <w:rsid w:val="00B50F70"/>
    <w:rsid w:val="00B5399F"/>
    <w:rsid w:val="00B57B43"/>
    <w:rsid w:val="00B758FC"/>
    <w:rsid w:val="00B9324B"/>
    <w:rsid w:val="00BD28E6"/>
    <w:rsid w:val="00BD7905"/>
    <w:rsid w:val="00BF50A3"/>
    <w:rsid w:val="00BF6978"/>
    <w:rsid w:val="00C07355"/>
    <w:rsid w:val="00C10C29"/>
    <w:rsid w:val="00C1389B"/>
    <w:rsid w:val="00C15FDE"/>
    <w:rsid w:val="00C210C1"/>
    <w:rsid w:val="00C268D5"/>
    <w:rsid w:val="00C3043F"/>
    <w:rsid w:val="00C30D92"/>
    <w:rsid w:val="00C836A8"/>
    <w:rsid w:val="00C90732"/>
    <w:rsid w:val="00CD209B"/>
    <w:rsid w:val="00D000B1"/>
    <w:rsid w:val="00D0695D"/>
    <w:rsid w:val="00DB7702"/>
    <w:rsid w:val="00DC5726"/>
    <w:rsid w:val="00DE0257"/>
    <w:rsid w:val="00E002FA"/>
    <w:rsid w:val="00E3347F"/>
    <w:rsid w:val="00E34AEC"/>
    <w:rsid w:val="00E37604"/>
    <w:rsid w:val="00E85A07"/>
    <w:rsid w:val="00E868E9"/>
    <w:rsid w:val="00EA34D7"/>
    <w:rsid w:val="00EA79B8"/>
    <w:rsid w:val="00ED1F60"/>
    <w:rsid w:val="00EE3A4A"/>
    <w:rsid w:val="00F45F8D"/>
    <w:rsid w:val="00F74182"/>
    <w:rsid w:val="00F8695F"/>
    <w:rsid w:val="00F92D57"/>
    <w:rsid w:val="00FF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76</cp:revision>
  <dcterms:created xsi:type="dcterms:W3CDTF">2020-07-24T06:49:00Z</dcterms:created>
  <dcterms:modified xsi:type="dcterms:W3CDTF">2025-03-25T07:23:00Z</dcterms:modified>
</cp:coreProperties>
</file>