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9935C1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53AD5">
        <w:rPr>
          <w:b/>
          <w:sz w:val="22"/>
          <w:szCs w:val="22"/>
        </w:rPr>
        <w:t>1</w:t>
      </w:r>
      <w:r w:rsidR="00822543">
        <w:rPr>
          <w:b/>
          <w:sz w:val="22"/>
          <w:szCs w:val="22"/>
        </w:rPr>
        <w:t>6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56BF1C0" w14:textId="77777777" w:rsidR="00822543" w:rsidRDefault="00822543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822543">
        <w:rPr>
          <w:b/>
          <w:i/>
          <w:iCs/>
          <w:sz w:val="22"/>
          <w:szCs w:val="22"/>
        </w:rPr>
        <w:t>Zakup i dostawa leków do programu lekowego - leczenie pacjentów chorych na raka dróg żółciowych oraz leki do chemioterapii</w:t>
      </w:r>
    </w:p>
    <w:p w14:paraId="0ECEE534" w14:textId="6C1B7BDE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215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18</cp:revision>
  <cp:lastPrinted>2025-02-27T10:47:00Z</cp:lastPrinted>
  <dcterms:created xsi:type="dcterms:W3CDTF">2021-07-06T08:08:00Z</dcterms:created>
  <dcterms:modified xsi:type="dcterms:W3CDTF">2025-03-10T13:30:00Z</dcterms:modified>
</cp:coreProperties>
</file>