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E7A5E70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1734ED" w:rsidRPr="001734ED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programu lekowego - leczenie pacjentów chorych na raka dróg żółciowych oraz leki do chemioterapii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90E23">
        <w:rPr>
          <w:rFonts w:ascii="Arial" w:hAnsi="Arial" w:cs="Arial"/>
          <w:b/>
          <w:bCs/>
          <w:sz w:val="21"/>
          <w:szCs w:val="21"/>
        </w:rPr>
        <w:t>1</w:t>
      </w:r>
      <w:r w:rsidR="001734ED">
        <w:rPr>
          <w:rFonts w:ascii="Arial" w:hAnsi="Arial" w:cs="Arial"/>
          <w:b/>
          <w:bCs/>
          <w:sz w:val="21"/>
          <w:szCs w:val="21"/>
        </w:rPr>
        <w:t>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742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16</cp:revision>
  <cp:lastPrinted>2025-02-27T10:46:00Z</cp:lastPrinted>
  <dcterms:created xsi:type="dcterms:W3CDTF">2022-05-09T10:10:00Z</dcterms:created>
  <dcterms:modified xsi:type="dcterms:W3CDTF">2025-03-10T13:30:00Z</dcterms:modified>
</cp:coreProperties>
</file>