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645B3" w:rsidP="005C0930">
      <w:pPr>
        <w:spacing w:after="240"/>
        <w:jc w:val="right"/>
        <w:rPr>
          <w:sz w:val="22"/>
          <w:szCs w:val="22"/>
        </w:rPr>
      </w:pPr>
      <w:r w:rsidRPr="009645B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645B3">
        <w:rPr>
          <w:sz w:val="22"/>
          <w:szCs w:val="22"/>
        </w:rPr>
        <w:t>2024-11-25</w:t>
      </w:r>
    </w:p>
    <w:p w:rsidR="009645B3" w:rsidRPr="009645B3" w:rsidRDefault="009645B3" w:rsidP="005C0930">
      <w:pPr>
        <w:rPr>
          <w:b/>
          <w:bCs/>
          <w:sz w:val="22"/>
          <w:szCs w:val="22"/>
        </w:rPr>
      </w:pPr>
      <w:r w:rsidRPr="009645B3">
        <w:rPr>
          <w:b/>
          <w:bCs/>
          <w:sz w:val="22"/>
          <w:szCs w:val="22"/>
        </w:rPr>
        <w:t>Akademia Górniczo - Hutnicza</w:t>
      </w:r>
    </w:p>
    <w:p w:rsidR="009645B3" w:rsidRPr="009645B3" w:rsidRDefault="009645B3" w:rsidP="005C0930">
      <w:pPr>
        <w:rPr>
          <w:b/>
          <w:bCs/>
          <w:sz w:val="22"/>
          <w:szCs w:val="22"/>
        </w:rPr>
      </w:pPr>
      <w:r w:rsidRPr="009645B3">
        <w:rPr>
          <w:b/>
          <w:bCs/>
          <w:sz w:val="22"/>
          <w:szCs w:val="22"/>
        </w:rPr>
        <w:t>im. Stanisława Staszica w Krakowie</w:t>
      </w:r>
    </w:p>
    <w:p w:rsidR="005C0930" w:rsidRPr="00D91931" w:rsidRDefault="009645B3" w:rsidP="005C0930">
      <w:pPr>
        <w:rPr>
          <w:b/>
          <w:bCs/>
          <w:sz w:val="22"/>
          <w:szCs w:val="22"/>
        </w:rPr>
      </w:pPr>
      <w:r w:rsidRPr="009645B3">
        <w:rPr>
          <w:b/>
          <w:bCs/>
          <w:sz w:val="22"/>
          <w:szCs w:val="22"/>
        </w:rPr>
        <w:t>Dział Zamówień Publicznych</w:t>
      </w:r>
    </w:p>
    <w:p w:rsidR="005C0930" w:rsidRPr="00BD5546" w:rsidRDefault="009645B3" w:rsidP="005C0930">
      <w:pPr>
        <w:rPr>
          <w:sz w:val="22"/>
          <w:szCs w:val="22"/>
        </w:rPr>
      </w:pPr>
      <w:r w:rsidRPr="009645B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645B3">
        <w:rPr>
          <w:sz w:val="22"/>
          <w:szCs w:val="22"/>
        </w:rPr>
        <w:t>30</w:t>
      </w:r>
    </w:p>
    <w:p w:rsidR="005C0930" w:rsidRPr="00BD5546" w:rsidRDefault="009645B3" w:rsidP="005C0930">
      <w:pPr>
        <w:rPr>
          <w:sz w:val="22"/>
          <w:szCs w:val="22"/>
        </w:rPr>
      </w:pPr>
      <w:r w:rsidRPr="009645B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645B3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645B3" w:rsidRPr="009645B3">
        <w:rPr>
          <w:b/>
          <w:sz w:val="22"/>
          <w:szCs w:val="22"/>
        </w:rPr>
        <w:t>DE-dzp.272-533/24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645B3" w:rsidRPr="009645B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9645B3" w:rsidRPr="009645B3">
        <w:rPr>
          <w:b/>
          <w:bCs/>
          <w:sz w:val="22"/>
          <w:szCs w:val="22"/>
        </w:rPr>
        <w:t>Dostawa materiałów reklamowych dla AGH - DE-dzp.272-533/24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645B3" w:rsidRPr="009645B3">
        <w:rPr>
          <w:b/>
          <w:sz w:val="22"/>
          <w:szCs w:val="22"/>
        </w:rPr>
        <w:t>DE-dzp.272-533/24</w:t>
      </w:r>
      <w:r w:rsidRPr="006A5DF1">
        <w:rPr>
          <w:b/>
          <w:sz w:val="22"/>
          <w:szCs w:val="22"/>
        </w:rPr>
        <w:t>.</w:t>
      </w:r>
    </w:p>
    <w:p w:rsidR="00EF1037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9645B3" w:rsidRPr="009645B3">
        <w:rPr>
          <w:b/>
          <w:sz w:val="22"/>
          <w:szCs w:val="22"/>
        </w:rPr>
        <w:t xml:space="preserve">Akademia Górniczo </w:t>
      </w:r>
      <w:r w:rsidR="00A1169B">
        <w:rPr>
          <w:b/>
          <w:sz w:val="22"/>
          <w:szCs w:val="22"/>
        </w:rPr>
        <w:t>–</w:t>
      </w:r>
      <w:r w:rsidR="009645B3" w:rsidRPr="009645B3">
        <w:rPr>
          <w:b/>
          <w:sz w:val="22"/>
          <w:szCs w:val="22"/>
        </w:rPr>
        <w:t xml:space="preserve"> Hutnicza</w:t>
      </w:r>
      <w:r w:rsidR="00A1169B">
        <w:rPr>
          <w:b/>
          <w:sz w:val="22"/>
          <w:szCs w:val="22"/>
        </w:rPr>
        <w:t xml:space="preserve"> </w:t>
      </w:r>
      <w:r w:rsidR="009645B3" w:rsidRPr="009645B3">
        <w:rPr>
          <w:b/>
          <w:sz w:val="22"/>
          <w:szCs w:val="22"/>
        </w:rPr>
        <w:t>im. Stanisława Staszica w Krakowie</w:t>
      </w:r>
      <w:r w:rsidR="00A1169B">
        <w:rPr>
          <w:b/>
          <w:sz w:val="22"/>
          <w:szCs w:val="22"/>
        </w:rPr>
        <w:t xml:space="preserve"> </w:t>
      </w:r>
      <w:r w:rsidR="009645B3" w:rsidRPr="009645B3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0B6563" w:rsidRPr="002E7670">
        <w:rPr>
          <w:sz w:val="22"/>
        </w:rPr>
        <w:t>(</w:t>
      </w:r>
      <w:r w:rsidR="000B6563" w:rsidRPr="002E7670">
        <w:rPr>
          <w:sz w:val="22"/>
          <w:szCs w:val="24"/>
        </w:rPr>
        <w:t xml:space="preserve">Dz.U.2024.1320 </w:t>
      </w:r>
      <w:proofErr w:type="spellStart"/>
      <w:r w:rsidR="000B6563" w:rsidRPr="002E7670">
        <w:rPr>
          <w:sz w:val="22"/>
          <w:szCs w:val="24"/>
        </w:rPr>
        <w:t>t.j</w:t>
      </w:r>
      <w:proofErr w:type="spellEnd"/>
      <w:r w:rsidR="000B6563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A1169B" w:rsidRPr="00A1169B" w:rsidRDefault="00A1169B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A1169B">
        <w:rPr>
          <w:b/>
          <w:sz w:val="22"/>
          <w:szCs w:val="22"/>
        </w:rPr>
        <w:t>pkt 22.2.3</w:t>
      </w:r>
    </w:p>
    <w:p w:rsidR="00A1169B" w:rsidRPr="00A1169B" w:rsidRDefault="00A1169B" w:rsidP="00A73CA7">
      <w:pPr>
        <w:spacing w:before="120" w:after="120" w:line="276" w:lineRule="auto"/>
        <w:jc w:val="both"/>
        <w:rPr>
          <w:b/>
          <w:color w:val="FF0000"/>
          <w:sz w:val="22"/>
          <w:szCs w:val="22"/>
        </w:rPr>
      </w:pPr>
      <w:r w:rsidRPr="00A1169B">
        <w:rPr>
          <w:b/>
          <w:color w:val="FF0000"/>
          <w:sz w:val="22"/>
          <w:szCs w:val="22"/>
        </w:rPr>
        <w:t>było: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A1169B">
        <w:rPr>
          <w:rFonts w:eastAsia="Calibri"/>
          <w:b/>
          <w:sz w:val="22"/>
          <w:szCs w:val="22"/>
          <w:u w:val="single"/>
          <w:lang w:eastAsia="en-US"/>
        </w:rPr>
        <w:t>Torba papierowa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-jakość znakowania</w:t>
      </w:r>
      <w:r w:rsidRPr="00A1169B">
        <w:rPr>
          <w:rFonts w:eastAsia="Calibri"/>
          <w:sz w:val="22"/>
          <w:szCs w:val="22"/>
          <w:lang w:eastAsia="en-US"/>
        </w:rPr>
        <w:t xml:space="preserve"> (prawidłowość i czytelność znakowania, trwałość </w:t>
      </w:r>
      <w:r w:rsidRPr="00A1169B">
        <w:rPr>
          <w:rFonts w:eastAsia="Calibri"/>
          <w:sz w:val="22"/>
          <w:szCs w:val="22"/>
          <w:lang w:eastAsia="en-US"/>
        </w:rPr>
        <w:br/>
        <w:t>i nieścieralność znakowania, jakość naniesienia barw) – 0-20 pkt.;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bCs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 xml:space="preserve">- kolorystyka </w:t>
      </w:r>
      <w:r w:rsidRPr="00A1169B">
        <w:rPr>
          <w:rFonts w:eastAsia="Calibri"/>
          <w:sz w:val="22"/>
          <w:szCs w:val="22"/>
          <w:lang w:eastAsia="en-US"/>
        </w:rPr>
        <w:t>– jednolitość barwy na całej powierzchni i równomierne rozłożenie barwy kolorystycznej i znakowania, - 0-10 pkt;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 xml:space="preserve">- wygoda </w:t>
      </w:r>
      <w:r w:rsidRPr="00A1169B">
        <w:rPr>
          <w:rFonts w:eastAsia="Calibri"/>
          <w:sz w:val="22"/>
          <w:szCs w:val="22"/>
          <w:lang w:eastAsia="en-US"/>
        </w:rPr>
        <w:t>użytkowania (dobre wyważenie produktu, odpowiedniej wielkości ucho umożliwiające dobry chwyt, ) 0-10 pkt;.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A1169B">
        <w:rPr>
          <w:rFonts w:eastAsia="Calibri"/>
          <w:b/>
          <w:sz w:val="22"/>
          <w:szCs w:val="22"/>
          <w:u w:val="single"/>
          <w:lang w:eastAsia="en-US"/>
        </w:rPr>
        <w:t xml:space="preserve">Długopis z </w:t>
      </w:r>
      <w:proofErr w:type="spellStart"/>
      <w:r w:rsidRPr="00A1169B">
        <w:rPr>
          <w:rFonts w:eastAsia="Calibri"/>
          <w:b/>
          <w:sz w:val="22"/>
          <w:szCs w:val="22"/>
          <w:u w:val="single"/>
          <w:lang w:eastAsia="en-US"/>
        </w:rPr>
        <w:t>touch</w:t>
      </w:r>
      <w:proofErr w:type="spellEnd"/>
      <w:r w:rsidRPr="00A1169B">
        <w:rPr>
          <w:rFonts w:eastAsia="Calibri"/>
          <w:b/>
          <w:sz w:val="22"/>
          <w:szCs w:val="22"/>
          <w:u w:val="single"/>
          <w:lang w:eastAsia="en-US"/>
        </w:rPr>
        <w:t xml:space="preserve"> penem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-jakość znakowania</w:t>
      </w:r>
      <w:r w:rsidRPr="00A1169B">
        <w:rPr>
          <w:rFonts w:eastAsia="Calibri"/>
          <w:sz w:val="22"/>
          <w:szCs w:val="22"/>
          <w:lang w:eastAsia="en-US"/>
        </w:rPr>
        <w:t xml:space="preserve"> (prawidłowość i czytelność znakowania, trwałość </w:t>
      </w:r>
      <w:r w:rsidRPr="00A1169B">
        <w:rPr>
          <w:rFonts w:eastAsia="Calibri"/>
          <w:sz w:val="22"/>
          <w:szCs w:val="22"/>
          <w:lang w:eastAsia="en-US"/>
        </w:rPr>
        <w:br/>
        <w:t>i nieścieralność znakowania, jakość naniesienia barw) – 0-10 pkt.;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bCs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 xml:space="preserve">- kolorystyka </w:t>
      </w:r>
      <w:r w:rsidRPr="00A1169B">
        <w:rPr>
          <w:rFonts w:eastAsia="Calibri"/>
          <w:sz w:val="22"/>
          <w:szCs w:val="22"/>
          <w:lang w:eastAsia="en-US"/>
        </w:rPr>
        <w:t>– jednolitość barwy na całej powierzchni długopisu wraz z zatyczką i równomierne rozłożenie barw kolorystycznych, - 0-5 pkt;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 estetyka wykonania</w:t>
      </w:r>
      <w:r w:rsidRPr="00A1169B">
        <w:rPr>
          <w:rFonts w:eastAsia="Calibri"/>
          <w:sz w:val="22"/>
          <w:szCs w:val="22"/>
          <w:lang w:eastAsia="en-US"/>
        </w:rPr>
        <w:t xml:space="preserve"> – sposób końcowego wyglądu produktu, estetyczne połączenie korpusu i zatyczki, równomierne rozłożenie grafik, brak zadrapań, estetyczne dopasowanie grafik/znakowania do pola zadruku,  0-5 pkt.</w:t>
      </w:r>
    </w:p>
    <w:p w:rsidR="00A1169B" w:rsidRPr="00A1169B" w:rsidRDefault="00A1169B" w:rsidP="00A1169B">
      <w:pPr>
        <w:suppressAutoHyphens/>
        <w:autoSpaceDN w:val="0"/>
        <w:spacing w:before="100" w:beforeAutospacing="1" w:after="100" w:afterAutospacing="1"/>
        <w:contextualSpacing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A1169B">
        <w:rPr>
          <w:rFonts w:eastAsia="Calibri"/>
          <w:b/>
          <w:bCs/>
          <w:sz w:val="24"/>
          <w:szCs w:val="24"/>
          <w:u w:val="single"/>
          <w:lang w:eastAsia="en-US"/>
        </w:rPr>
        <w:t>Smycz reklamowa</w:t>
      </w:r>
    </w:p>
    <w:p w:rsidR="00A1169B" w:rsidRPr="00A1169B" w:rsidRDefault="00A1169B" w:rsidP="00A1169B">
      <w:pPr>
        <w:suppressAutoHyphens/>
        <w:autoSpaceDN w:val="0"/>
        <w:spacing w:before="100" w:beforeAutospacing="1" w:after="100" w:afterAutospacing="1"/>
        <w:contextualSpacing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lastRenderedPageBreak/>
        <w:t>-jakość znakowania</w:t>
      </w:r>
      <w:r w:rsidRPr="00A1169B">
        <w:rPr>
          <w:rFonts w:eastAsia="Calibri"/>
          <w:sz w:val="22"/>
          <w:szCs w:val="22"/>
          <w:lang w:eastAsia="en-US"/>
        </w:rPr>
        <w:t xml:space="preserve"> (prawidłowość i czytelność znakowania, trwałość </w:t>
      </w:r>
      <w:r w:rsidRPr="00A1169B">
        <w:rPr>
          <w:rFonts w:eastAsia="Calibri"/>
          <w:sz w:val="22"/>
          <w:szCs w:val="22"/>
          <w:lang w:eastAsia="en-US"/>
        </w:rPr>
        <w:br/>
        <w:t>i nieścieralność znakowania, jakość naniesienia barw) – 0-20 pkt.;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bCs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 xml:space="preserve">- kolorystyka </w:t>
      </w:r>
      <w:r w:rsidRPr="00A1169B">
        <w:rPr>
          <w:rFonts w:eastAsia="Calibri"/>
          <w:sz w:val="22"/>
          <w:szCs w:val="22"/>
          <w:lang w:eastAsia="en-US"/>
        </w:rPr>
        <w:t>– jednolitość barwy na całej powierzchni długopisu wraz z zatyczką i równomierne rozłożenie barw kolorystycznych, - 0-10 pkt;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 estetyka wykonania</w:t>
      </w:r>
      <w:r w:rsidRPr="00A1169B">
        <w:rPr>
          <w:rFonts w:eastAsia="Calibri"/>
          <w:sz w:val="22"/>
          <w:szCs w:val="22"/>
          <w:lang w:eastAsia="en-US"/>
        </w:rPr>
        <w:t xml:space="preserve"> – sposób końcowego wyglądu produktu, estetyczne połączenie karabińczyka, paska, równomierne rozłożenie grafik, brak zadrapań, estetyczne dopasowanie grafik/znakowania do pola zadruku,  0-10 pkt.</w:t>
      </w:r>
    </w:p>
    <w:p w:rsidR="00A1169B" w:rsidRPr="00A1169B" w:rsidRDefault="00A1169B" w:rsidP="00A73CA7">
      <w:pPr>
        <w:spacing w:before="120" w:after="120" w:line="276" w:lineRule="auto"/>
        <w:jc w:val="both"/>
        <w:rPr>
          <w:b/>
          <w:color w:val="FF0000"/>
          <w:sz w:val="22"/>
          <w:szCs w:val="22"/>
        </w:rPr>
      </w:pPr>
      <w:r w:rsidRPr="00A1169B">
        <w:rPr>
          <w:b/>
          <w:color w:val="FF0000"/>
          <w:sz w:val="22"/>
          <w:szCs w:val="22"/>
        </w:rPr>
        <w:t>powinno być: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A1169B">
        <w:rPr>
          <w:rFonts w:eastAsia="Calibri"/>
          <w:b/>
          <w:sz w:val="22"/>
          <w:szCs w:val="22"/>
          <w:u w:val="single"/>
          <w:lang w:eastAsia="en-US"/>
        </w:rPr>
        <w:t>Torba papierowa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-jakość znakowania</w:t>
      </w:r>
      <w:r w:rsidRPr="00A1169B">
        <w:rPr>
          <w:rFonts w:eastAsia="Calibri"/>
          <w:sz w:val="22"/>
          <w:szCs w:val="22"/>
          <w:lang w:eastAsia="en-US"/>
        </w:rPr>
        <w:t xml:space="preserve"> </w:t>
      </w:r>
      <w:bookmarkStart w:id="0" w:name="_Hlk183416423"/>
      <w:r w:rsidRPr="00A1169B">
        <w:rPr>
          <w:rFonts w:eastAsia="Calibri"/>
          <w:sz w:val="22"/>
          <w:szCs w:val="22"/>
          <w:lang w:eastAsia="en-US"/>
        </w:rPr>
        <w:t>(prawidłowość i czytelność znakowania</w:t>
      </w:r>
      <w:r>
        <w:rPr>
          <w:rFonts w:eastAsia="Calibri"/>
          <w:sz w:val="22"/>
          <w:szCs w:val="22"/>
          <w:lang w:eastAsia="en-US"/>
        </w:rPr>
        <w:t xml:space="preserve"> od 0 do 7 </w:t>
      </w:r>
      <w:r w:rsidR="008E06CE">
        <w:rPr>
          <w:rFonts w:eastAsia="Calibri"/>
          <w:sz w:val="22"/>
          <w:szCs w:val="22"/>
          <w:lang w:eastAsia="en-US"/>
        </w:rPr>
        <w:t>pkt</w:t>
      </w:r>
      <w:r w:rsidRPr="00A1169B">
        <w:rPr>
          <w:rFonts w:eastAsia="Calibri"/>
          <w:sz w:val="22"/>
          <w:szCs w:val="22"/>
          <w:lang w:eastAsia="en-US"/>
        </w:rPr>
        <w:t xml:space="preserve">, trwałość </w:t>
      </w:r>
      <w:r w:rsidRPr="00A1169B">
        <w:rPr>
          <w:rFonts w:eastAsia="Calibri"/>
          <w:sz w:val="22"/>
          <w:szCs w:val="22"/>
          <w:lang w:eastAsia="en-US"/>
        </w:rPr>
        <w:br/>
        <w:t>i nieścieralność znakowania</w:t>
      </w:r>
      <w:r w:rsidR="008E06CE">
        <w:rPr>
          <w:rFonts w:eastAsia="Calibri"/>
          <w:sz w:val="22"/>
          <w:szCs w:val="22"/>
          <w:lang w:eastAsia="en-US"/>
        </w:rPr>
        <w:t xml:space="preserve"> od 0 do 7 pkt</w:t>
      </w:r>
      <w:r w:rsidRPr="00A1169B">
        <w:rPr>
          <w:rFonts w:eastAsia="Calibri"/>
          <w:sz w:val="22"/>
          <w:szCs w:val="22"/>
          <w:lang w:eastAsia="en-US"/>
        </w:rPr>
        <w:t>, jakość naniesienia barw</w:t>
      </w:r>
      <w:r w:rsidR="008E06CE">
        <w:rPr>
          <w:rFonts w:eastAsia="Calibri"/>
          <w:sz w:val="22"/>
          <w:szCs w:val="22"/>
          <w:lang w:eastAsia="en-US"/>
        </w:rPr>
        <w:t xml:space="preserve"> od 0 do 6 pkt</w:t>
      </w:r>
      <w:r w:rsidRPr="00A1169B">
        <w:rPr>
          <w:rFonts w:eastAsia="Calibri"/>
          <w:sz w:val="22"/>
          <w:szCs w:val="22"/>
          <w:lang w:eastAsia="en-US"/>
        </w:rPr>
        <w:t xml:space="preserve">) </w:t>
      </w:r>
      <w:bookmarkEnd w:id="0"/>
      <w:r w:rsidRPr="00A1169B">
        <w:rPr>
          <w:rFonts w:eastAsia="Calibri"/>
          <w:sz w:val="22"/>
          <w:szCs w:val="22"/>
          <w:lang w:eastAsia="en-US"/>
        </w:rPr>
        <w:t xml:space="preserve">– </w:t>
      </w:r>
      <w:r w:rsidR="00542C93">
        <w:rPr>
          <w:rFonts w:eastAsia="Calibri"/>
          <w:sz w:val="22"/>
          <w:szCs w:val="22"/>
          <w:lang w:eastAsia="en-US"/>
        </w:rPr>
        <w:t xml:space="preserve">RAZEM </w:t>
      </w:r>
      <w:r w:rsidR="00C94F9F">
        <w:rPr>
          <w:rFonts w:eastAsia="Calibri"/>
          <w:sz w:val="22"/>
          <w:szCs w:val="22"/>
          <w:lang w:eastAsia="en-US"/>
        </w:rPr>
        <w:t xml:space="preserve">od </w:t>
      </w:r>
      <w:r w:rsidRPr="00A1169B">
        <w:rPr>
          <w:rFonts w:eastAsia="Calibri"/>
          <w:sz w:val="22"/>
          <w:szCs w:val="22"/>
          <w:lang w:eastAsia="en-US"/>
        </w:rPr>
        <w:t>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Pr="00A1169B">
        <w:rPr>
          <w:rFonts w:eastAsia="Calibri"/>
          <w:sz w:val="22"/>
          <w:szCs w:val="22"/>
          <w:lang w:eastAsia="en-US"/>
        </w:rPr>
        <w:t>20 pkt.;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bCs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 xml:space="preserve">- kolorystyka </w:t>
      </w:r>
      <w:r w:rsidRPr="00A1169B">
        <w:rPr>
          <w:rFonts w:eastAsia="Calibri"/>
          <w:sz w:val="22"/>
          <w:szCs w:val="22"/>
          <w:lang w:eastAsia="en-US"/>
        </w:rPr>
        <w:t xml:space="preserve">– jednolitość barwy na całej powierzchni i równomierne rozłożenie barwy kolorystycznej i znakowania, - </w:t>
      </w:r>
      <w:r w:rsidR="00C94F9F">
        <w:rPr>
          <w:rFonts w:eastAsia="Calibri"/>
          <w:sz w:val="22"/>
          <w:szCs w:val="22"/>
          <w:lang w:eastAsia="en-US"/>
        </w:rPr>
        <w:t xml:space="preserve">od </w:t>
      </w:r>
      <w:r w:rsidRPr="00A1169B">
        <w:rPr>
          <w:rFonts w:eastAsia="Calibri"/>
          <w:sz w:val="22"/>
          <w:szCs w:val="22"/>
          <w:lang w:eastAsia="en-US"/>
        </w:rPr>
        <w:t>0</w:t>
      </w:r>
      <w:r w:rsidR="00C94F9F">
        <w:rPr>
          <w:rFonts w:eastAsia="Calibri"/>
          <w:sz w:val="22"/>
          <w:szCs w:val="22"/>
          <w:lang w:eastAsia="en-US"/>
        </w:rPr>
        <w:t xml:space="preserve"> do</w:t>
      </w:r>
      <w:r w:rsidRPr="00A1169B">
        <w:rPr>
          <w:rFonts w:eastAsia="Calibri"/>
          <w:sz w:val="22"/>
          <w:szCs w:val="22"/>
          <w:lang w:eastAsia="en-US"/>
        </w:rPr>
        <w:t>10 pkt;</w:t>
      </w:r>
    </w:p>
    <w:p w:rsidR="00A1169B" w:rsidRPr="00A1169B" w:rsidRDefault="00A1169B" w:rsidP="00A1169B">
      <w:pPr>
        <w:autoSpaceDN w:val="0"/>
        <w:spacing w:after="160" w:line="254" w:lineRule="auto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 xml:space="preserve">- wygoda </w:t>
      </w:r>
      <w:r w:rsidRPr="00A1169B">
        <w:rPr>
          <w:rFonts w:eastAsia="Calibri"/>
          <w:sz w:val="22"/>
          <w:szCs w:val="22"/>
          <w:lang w:eastAsia="en-US"/>
        </w:rPr>
        <w:t>użytkowania (dobre wyważenie produktu</w:t>
      </w:r>
      <w:r w:rsidR="008E06CE">
        <w:rPr>
          <w:rFonts w:eastAsia="Calibri"/>
          <w:sz w:val="22"/>
          <w:szCs w:val="22"/>
          <w:lang w:eastAsia="en-US"/>
        </w:rPr>
        <w:t xml:space="preserve"> od 0 do 5 pkt</w:t>
      </w:r>
      <w:r w:rsidRPr="00A1169B">
        <w:rPr>
          <w:rFonts w:eastAsia="Calibri"/>
          <w:sz w:val="22"/>
          <w:szCs w:val="22"/>
          <w:lang w:eastAsia="en-US"/>
        </w:rPr>
        <w:t>, odpowiedniej wielkości ucho umożliwiające dobry chwyt</w:t>
      </w:r>
      <w:r w:rsidR="008E06CE">
        <w:rPr>
          <w:rFonts w:eastAsia="Calibri"/>
          <w:sz w:val="22"/>
          <w:szCs w:val="22"/>
          <w:lang w:eastAsia="en-US"/>
        </w:rPr>
        <w:t xml:space="preserve"> od 0 do 5 pkt</w:t>
      </w:r>
      <w:r w:rsidRPr="00A1169B">
        <w:rPr>
          <w:rFonts w:eastAsia="Calibri"/>
          <w:sz w:val="22"/>
          <w:szCs w:val="22"/>
          <w:lang w:eastAsia="en-US"/>
        </w:rPr>
        <w:t xml:space="preserve">) </w:t>
      </w:r>
      <w:r w:rsidR="00542C93">
        <w:rPr>
          <w:rFonts w:eastAsia="Calibri"/>
          <w:sz w:val="22"/>
          <w:szCs w:val="22"/>
          <w:lang w:eastAsia="en-US"/>
        </w:rPr>
        <w:t xml:space="preserve">RAZEM </w:t>
      </w:r>
      <w:r w:rsidR="00C94F9F">
        <w:rPr>
          <w:rFonts w:eastAsia="Calibri"/>
          <w:sz w:val="22"/>
          <w:szCs w:val="22"/>
          <w:lang w:eastAsia="en-US"/>
        </w:rPr>
        <w:t xml:space="preserve">od </w:t>
      </w:r>
      <w:r w:rsidRPr="00A1169B">
        <w:rPr>
          <w:rFonts w:eastAsia="Calibri"/>
          <w:sz w:val="22"/>
          <w:szCs w:val="22"/>
          <w:lang w:eastAsia="en-US"/>
        </w:rPr>
        <w:t>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Pr="00A1169B">
        <w:rPr>
          <w:rFonts w:eastAsia="Calibri"/>
          <w:sz w:val="22"/>
          <w:szCs w:val="22"/>
          <w:lang w:eastAsia="en-US"/>
        </w:rPr>
        <w:t>10 pkt;.</w:t>
      </w:r>
    </w:p>
    <w:p w:rsidR="00A1169B" w:rsidRPr="00A1169B" w:rsidRDefault="00A1169B" w:rsidP="00542C93">
      <w:pPr>
        <w:autoSpaceDN w:val="0"/>
        <w:spacing w:after="160" w:line="254" w:lineRule="auto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A1169B">
        <w:rPr>
          <w:rFonts w:eastAsia="Calibri"/>
          <w:b/>
          <w:sz w:val="22"/>
          <w:szCs w:val="22"/>
          <w:u w:val="single"/>
          <w:lang w:eastAsia="en-US"/>
        </w:rPr>
        <w:t xml:space="preserve">Długopis z </w:t>
      </w:r>
      <w:proofErr w:type="spellStart"/>
      <w:r w:rsidRPr="00A1169B">
        <w:rPr>
          <w:rFonts w:eastAsia="Calibri"/>
          <w:b/>
          <w:sz w:val="22"/>
          <w:szCs w:val="22"/>
          <w:u w:val="single"/>
          <w:lang w:eastAsia="en-US"/>
        </w:rPr>
        <w:t>touch</w:t>
      </w:r>
      <w:proofErr w:type="spellEnd"/>
      <w:r w:rsidRPr="00A1169B">
        <w:rPr>
          <w:rFonts w:eastAsia="Calibri"/>
          <w:b/>
          <w:sz w:val="22"/>
          <w:szCs w:val="22"/>
          <w:u w:val="single"/>
          <w:lang w:eastAsia="en-US"/>
        </w:rPr>
        <w:t xml:space="preserve"> penem</w:t>
      </w:r>
    </w:p>
    <w:p w:rsidR="00A1169B" w:rsidRPr="00A1169B" w:rsidRDefault="00A1169B" w:rsidP="00542C93">
      <w:pPr>
        <w:autoSpaceDN w:val="0"/>
        <w:spacing w:after="160" w:line="254" w:lineRule="auto"/>
        <w:jc w:val="both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-jakość znakowania</w:t>
      </w:r>
      <w:r w:rsidRPr="00A1169B">
        <w:rPr>
          <w:rFonts w:eastAsia="Calibri"/>
          <w:sz w:val="22"/>
          <w:szCs w:val="22"/>
          <w:lang w:eastAsia="en-US"/>
        </w:rPr>
        <w:t xml:space="preserve"> </w:t>
      </w:r>
      <w:r w:rsidR="00411613" w:rsidRPr="00A1169B">
        <w:rPr>
          <w:rFonts w:eastAsia="Calibri"/>
          <w:sz w:val="22"/>
          <w:szCs w:val="22"/>
          <w:lang w:eastAsia="en-US"/>
        </w:rPr>
        <w:t>(prawidłowość i czytelność znakowania</w:t>
      </w:r>
      <w:r w:rsidR="00411613">
        <w:rPr>
          <w:rFonts w:eastAsia="Calibri"/>
          <w:sz w:val="22"/>
          <w:szCs w:val="22"/>
          <w:lang w:eastAsia="en-US"/>
        </w:rPr>
        <w:t xml:space="preserve"> od 0 do 3 pkt</w:t>
      </w:r>
      <w:r w:rsidR="00411613" w:rsidRPr="00A1169B">
        <w:rPr>
          <w:rFonts w:eastAsia="Calibri"/>
          <w:sz w:val="22"/>
          <w:szCs w:val="22"/>
          <w:lang w:eastAsia="en-US"/>
        </w:rPr>
        <w:t xml:space="preserve">, trwałość </w:t>
      </w:r>
      <w:r w:rsidR="00411613" w:rsidRPr="00A1169B">
        <w:rPr>
          <w:rFonts w:eastAsia="Calibri"/>
          <w:sz w:val="22"/>
          <w:szCs w:val="22"/>
          <w:lang w:eastAsia="en-US"/>
        </w:rPr>
        <w:br/>
        <w:t>i nieścieralność znakowania</w:t>
      </w:r>
      <w:r w:rsidR="00411613">
        <w:rPr>
          <w:rFonts w:eastAsia="Calibri"/>
          <w:sz w:val="22"/>
          <w:szCs w:val="22"/>
          <w:lang w:eastAsia="en-US"/>
        </w:rPr>
        <w:t xml:space="preserve"> od 0 do 3 pkt</w:t>
      </w:r>
      <w:r w:rsidR="00411613" w:rsidRPr="00A1169B">
        <w:rPr>
          <w:rFonts w:eastAsia="Calibri"/>
          <w:sz w:val="22"/>
          <w:szCs w:val="22"/>
          <w:lang w:eastAsia="en-US"/>
        </w:rPr>
        <w:t>, jakość naniesienia barw</w:t>
      </w:r>
      <w:r w:rsidR="00411613">
        <w:rPr>
          <w:rFonts w:eastAsia="Calibri"/>
          <w:sz w:val="22"/>
          <w:szCs w:val="22"/>
          <w:lang w:eastAsia="en-US"/>
        </w:rPr>
        <w:t xml:space="preserve"> od 0 do 4 pkt</w:t>
      </w:r>
      <w:r w:rsidR="00411613" w:rsidRPr="00A1169B">
        <w:rPr>
          <w:rFonts w:eastAsia="Calibri"/>
          <w:sz w:val="22"/>
          <w:szCs w:val="22"/>
          <w:lang w:eastAsia="en-US"/>
        </w:rPr>
        <w:t>)</w:t>
      </w:r>
      <w:r w:rsidRPr="00A1169B">
        <w:rPr>
          <w:rFonts w:eastAsia="Calibri"/>
          <w:sz w:val="22"/>
          <w:szCs w:val="22"/>
          <w:lang w:eastAsia="en-US"/>
        </w:rPr>
        <w:t xml:space="preserve"> –</w:t>
      </w:r>
      <w:r w:rsidR="00542C93">
        <w:rPr>
          <w:rFonts w:eastAsia="Calibri"/>
          <w:sz w:val="22"/>
          <w:szCs w:val="22"/>
          <w:lang w:eastAsia="en-US"/>
        </w:rPr>
        <w:t xml:space="preserve"> RAZEM</w:t>
      </w:r>
      <w:r w:rsidRPr="00A1169B">
        <w:rPr>
          <w:rFonts w:eastAsia="Calibri"/>
          <w:sz w:val="22"/>
          <w:szCs w:val="22"/>
          <w:lang w:eastAsia="en-US"/>
        </w:rPr>
        <w:t xml:space="preserve"> </w:t>
      </w:r>
      <w:r w:rsidR="00C94F9F">
        <w:rPr>
          <w:rFonts w:eastAsia="Calibri"/>
          <w:sz w:val="22"/>
          <w:szCs w:val="22"/>
          <w:lang w:eastAsia="en-US"/>
        </w:rPr>
        <w:t xml:space="preserve">od </w:t>
      </w:r>
      <w:r w:rsidRPr="00A1169B">
        <w:rPr>
          <w:rFonts w:eastAsia="Calibri"/>
          <w:sz w:val="22"/>
          <w:szCs w:val="22"/>
          <w:lang w:eastAsia="en-US"/>
        </w:rPr>
        <w:t>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Pr="00A1169B">
        <w:rPr>
          <w:rFonts w:eastAsia="Calibri"/>
          <w:sz w:val="22"/>
          <w:szCs w:val="22"/>
          <w:lang w:eastAsia="en-US"/>
        </w:rPr>
        <w:t>10 pkt.;</w:t>
      </w:r>
    </w:p>
    <w:p w:rsidR="00A1169B" w:rsidRPr="00A1169B" w:rsidRDefault="00A1169B" w:rsidP="00542C93">
      <w:pPr>
        <w:autoSpaceDN w:val="0"/>
        <w:spacing w:after="160" w:line="254" w:lineRule="auto"/>
        <w:jc w:val="both"/>
        <w:rPr>
          <w:rFonts w:eastAsia="Calibri"/>
          <w:bCs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 xml:space="preserve">- kolorystyka </w:t>
      </w:r>
      <w:r w:rsidRPr="00A1169B">
        <w:rPr>
          <w:rFonts w:eastAsia="Calibri"/>
          <w:sz w:val="22"/>
          <w:szCs w:val="22"/>
          <w:lang w:eastAsia="en-US"/>
        </w:rPr>
        <w:t>– jednolitość barwy na całej powierzchni długopisu wraz z zatyczką i równomierne rozłożenie barw kolorystycznych, - 0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Pr="00A1169B">
        <w:rPr>
          <w:rFonts w:eastAsia="Calibri"/>
          <w:sz w:val="22"/>
          <w:szCs w:val="22"/>
          <w:lang w:eastAsia="en-US"/>
        </w:rPr>
        <w:t>5 pkt;</w:t>
      </w:r>
    </w:p>
    <w:p w:rsidR="00A1169B" w:rsidRPr="00A1169B" w:rsidRDefault="00A1169B" w:rsidP="00542C93">
      <w:pPr>
        <w:autoSpaceDN w:val="0"/>
        <w:spacing w:after="160" w:line="254" w:lineRule="auto"/>
        <w:jc w:val="both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 estetyka wykonania</w:t>
      </w:r>
      <w:r w:rsidRPr="00A1169B">
        <w:rPr>
          <w:rFonts w:eastAsia="Calibri"/>
          <w:sz w:val="22"/>
          <w:szCs w:val="22"/>
          <w:lang w:eastAsia="en-US"/>
        </w:rPr>
        <w:t xml:space="preserve"> – sposób końcowego wyglądu produktu</w:t>
      </w:r>
      <w:r w:rsidR="00542C93">
        <w:rPr>
          <w:rFonts w:eastAsia="Calibri"/>
          <w:sz w:val="22"/>
          <w:szCs w:val="22"/>
          <w:lang w:eastAsia="en-US"/>
        </w:rPr>
        <w:t xml:space="preserve"> od 0 do 1 pkt</w:t>
      </w:r>
      <w:r w:rsidRPr="00A1169B">
        <w:rPr>
          <w:rFonts w:eastAsia="Calibri"/>
          <w:sz w:val="22"/>
          <w:szCs w:val="22"/>
          <w:lang w:eastAsia="en-US"/>
        </w:rPr>
        <w:t>, estetyczne połączenie korpusu i zatyczki</w:t>
      </w:r>
      <w:r w:rsidR="00542C93">
        <w:rPr>
          <w:rFonts w:eastAsia="Calibri"/>
          <w:sz w:val="22"/>
          <w:szCs w:val="22"/>
          <w:lang w:eastAsia="en-US"/>
        </w:rPr>
        <w:t xml:space="preserve"> od 0 do 1 pkt</w:t>
      </w:r>
      <w:r w:rsidRPr="00A1169B">
        <w:rPr>
          <w:rFonts w:eastAsia="Calibri"/>
          <w:sz w:val="22"/>
          <w:szCs w:val="22"/>
          <w:lang w:eastAsia="en-US"/>
        </w:rPr>
        <w:t>, równomierne rozłożenie grafik</w:t>
      </w:r>
      <w:r w:rsidR="00542C93">
        <w:rPr>
          <w:rFonts w:eastAsia="Calibri"/>
          <w:sz w:val="22"/>
          <w:szCs w:val="22"/>
          <w:lang w:eastAsia="en-US"/>
        </w:rPr>
        <w:t xml:space="preserve"> od 0 do 1 pkt</w:t>
      </w:r>
      <w:r w:rsidRPr="00A1169B">
        <w:rPr>
          <w:rFonts w:eastAsia="Calibri"/>
          <w:sz w:val="22"/>
          <w:szCs w:val="22"/>
          <w:lang w:eastAsia="en-US"/>
        </w:rPr>
        <w:t>, brak zadrapań</w:t>
      </w:r>
      <w:r w:rsidR="00542C93">
        <w:rPr>
          <w:rFonts w:eastAsia="Calibri"/>
          <w:sz w:val="22"/>
          <w:szCs w:val="22"/>
          <w:lang w:eastAsia="en-US"/>
        </w:rPr>
        <w:t xml:space="preserve"> od 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="00542C93">
        <w:rPr>
          <w:rFonts w:eastAsia="Calibri"/>
          <w:sz w:val="22"/>
          <w:szCs w:val="22"/>
          <w:lang w:eastAsia="en-US"/>
        </w:rPr>
        <w:t>1 pkt</w:t>
      </w:r>
      <w:r w:rsidRPr="00A1169B">
        <w:rPr>
          <w:rFonts w:eastAsia="Calibri"/>
          <w:sz w:val="22"/>
          <w:szCs w:val="22"/>
          <w:lang w:eastAsia="en-US"/>
        </w:rPr>
        <w:t>, estetyczne dopasowanie grafik/znakowania do pola zadruku</w:t>
      </w:r>
      <w:r w:rsidR="00542C93">
        <w:rPr>
          <w:rFonts w:eastAsia="Calibri"/>
          <w:sz w:val="22"/>
          <w:szCs w:val="22"/>
          <w:lang w:eastAsia="en-US"/>
        </w:rPr>
        <w:t xml:space="preserve"> od 0 do 1 pkt</w:t>
      </w:r>
      <w:r w:rsidRPr="00A1169B">
        <w:rPr>
          <w:rFonts w:eastAsia="Calibri"/>
          <w:sz w:val="22"/>
          <w:szCs w:val="22"/>
          <w:lang w:eastAsia="en-US"/>
        </w:rPr>
        <w:t xml:space="preserve">, </w:t>
      </w:r>
      <w:r w:rsidR="00542C93">
        <w:rPr>
          <w:rFonts w:eastAsia="Calibri"/>
          <w:sz w:val="22"/>
          <w:szCs w:val="22"/>
          <w:lang w:eastAsia="en-US"/>
        </w:rPr>
        <w:t>RAZEM</w:t>
      </w:r>
      <w:r w:rsidRPr="00A1169B">
        <w:rPr>
          <w:rFonts w:eastAsia="Calibri"/>
          <w:sz w:val="22"/>
          <w:szCs w:val="22"/>
          <w:lang w:eastAsia="en-US"/>
        </w:rPr>
        <w:t xml:space="preserve"> </w:t>
      </w:r>
      <w:r w:rsidR="00C94F9F">
        <w:rPr>
          <w:rFonts w:eastAsia="Calibri"/>
          <w:sz w:val="22"/>
          <w:szCs w:val="22"/>
          <w:lang w:eastAsia="en-US"/>
        </w:rPr>
        <w:t xml:space="preserve">od </w:t>
      </w:r>
      <w:r w:rsidRPr="00A1169B">
        <w:rPr>
          <w:rFonts w:eastAsia="Calibri"/>
          <w:sz w:val="22"/>
          <w:szCs w:val="22"/>
          <w:lang w:eastAsia="en-US"/>
        </w:rPr>
        <w:t>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Pr="00A1169B">
        <w:rPr>
          <w:rFonts w:eastAsia="Calibri"/>
          <w:sz w:val="22"/>
          <w:szCs w:val="22"/>
          <w:lang w:eastAsia="en-US"/>
        </w:rPr>
        <w:t>5 pkt.</w:t>
      </w:r>
    </w:p>
    <w:p w:rsidR="00A1169B" w:rsidRPr="00A1169B" w:rsidRDefault="00A1169B" w:rsidP="00542C93">
      <w:pPr>
        <w:suppressAutoHyphens/>
        <w:autoSpaceDN w:val="0"/>
        <w:spacing w:before="100" w:beforeAutospacing="1" w:after="100" w:afterAutospacing="1"/>
        <w:contextualSpacing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  <w:r w:rsidRPr="00A1169B">
        <w:rPr>
          <w:rFonts w:eastAsia="Calibri"/>
          <w:b/>
          <w:bCs/>
          <w:sz w:val="24"/>
          <w:szCs w:val="24"/>
          <w:u w:val="single"/>
          <w:lang w:eastAsia="en-US"/>
        </w:rPr>
        <w:t>Smycz reklamowa</w:t>
      </w:r>
    </w:p>
    <w:p w:rsidR="00A1169B" w:rsidRPr="00A1169B" w:rsidRDefault="00A1169B" w:rsidP="00542C93">
      <w:pPr>
        <w:suppressAutoHyphens/>
        <w:autoSpaceDN w:val="0"/>
        <w:spacing w:before="100" w:beforeAutospacing="1" w:after="100" w:afterAutospacing="1"/>
        <w:contextualSpacing/>
        <w:jc w:val="both"/>
        <w:rPr>
          <w:rFonts w:eastAsia="Calibri"/>
          <w:b/>
          <w:bCs/>
          <w:sz w:val="24"/>
          <w:szCs w:val="24"/>
          <w:u w:val="single"/>
          <w:lang w:eastAsia="en-US"/>
        </w:rPr>
      </w:pPr>
    </w:p>
    <w:p w:rsidR="00A1169B" w:rsidRPr="00A1169B" w:rsidRDefault="00A1169B" w:rsidP="00542C93">
      <w:pPr>
        <w:autoSpaceDN w:val="0"/>
        <w:spacing w:after="160" w:line="254" w:lineRule="auto"/>
        <w:jc w:val="both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-jakość znakowania</w:t>
      </w:r>
      <w:r w:rsidRPr="00A1169B">
        <w:rPr>
          <w:rFonts w:eastAsia="Calibri"/>
          <w:sz w:val="22"/>
          <w:szCs w:val="22"/>
          <w:lang w:eastAsia="en-US"/>
        </w:rPr>
        <w:t xml:space="preserve"> </w:t>
      </w:r>
      <w:r w:rsidR="00411613" w:rsidRPr="00411613">
        <w:rPr>
          <w:rFonts w:eastAsia="Calibri"/>
          <w:sz w:val="22"/>
          <w:szCs w:val="22"/>
          <w:lang w:eastAsia="en-US"/>
        </w:rPr>
        <w:t xml:space="preserve">(prawidłowość i czytelność znakowania od 0 do 7 pkt, trwałość </w:t>
      </w:r>
      <w:r w:rsidR="00411613" w:rsidRPr="00411613">
        <w:rPr>
          <w:rFonts w:eastAsia="Calibri"/>
          <w:sz w:val="22"/>
          <w:szCs w:val="22"/>
          <w:lang w:eastAsia="en-US"/>
        </w:rPr>
        <w:br/>
        <w:t xml:space="preserve">i nieścieralność znakowania od 0 do 7 pkt, jakość naniesienia barw od 0 do 6 pkt) </w:t>
      </w:r>
      <w:r w:rsidRPr="00A1169B">
        <w:rPr>
          <w:rFonts w:eastAsia="Calibri"/>
          <w:sz w:val="22"/>
          <w:szCs w:val="22"/>
          <w:lang w:eastAsia="en-US"/>
        </w:rPr>
        <w:t xml:space="preserve">– </w:t>
      </w:r>
      <w:r w:rsidR="00542C93">
        <w:rPr>
          <w:rFonts w:eastAsia="Calibri"/>
          <w:sz w:val="22"/>
          <w:szCs w:val="22"/>
          <w:lang w:eastAsia="en-US"/>
        </w:rPr>
        <w:t xml:space="preserve">RAZEM </w:t>
      </w:r>
      <w:r w:rsidR="00C94F9F">
        <w:rPr>
          <w:rFonts w:eastAsia="Calibri"/>
          <w:sz w:val="22"/>
          <w:szCs w:val="22"/>
          <w:lang w:eastAsia="en-US"/>
        </w:rPr>
        <w:t xml:space="preserve">od </w:t>
      </w:r>
      <w:r w:rsidRPr="00A1169B">
        <w:rPr>
          <w:rFonts w:eastAsia="Calibri"/>
          <w:sz w:val="22"/>
          <w:szCs w:val="22"/>
          <w:lang w:eastAsia="en-US"/>
        </w:rPr>
        <w:t>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Pr="00A1169B">
        <w:rPr>
          <w:rFonts w:eastAsia="Calibri"/>
          <w:sz w:val="22"/>
          <w:szCs w:val="22"/>
          <w:lang w:eastAsia="en-US"/>
        </w:rPr>
        <w:t>20 pkt.;</w:t>
      </w:r>
    </w:p>
    <w:p w:rsidR="00A1169B" w:rsidRPr="00A1169B" w:rsidRDefault="00A1169B" w:rsidP="00542C93">
      <w:pPr>
        <w:autoSpaceDN w:val="0"/>
        <w:spacing w:after="160" w:line="254" w:lineRule="auto"/>
        <w:jc w:val="both"/>
        <w:rPr>
          <w:rFonts w:eastAsia="Calibri"/>
          <w:bCs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 xml:space="preserve">- kolorystyka </w:t>
      </w:r>
      <w:r w:rsidRPr="00A1169B">
        <w:rPr>
          <w:rFonts w:eastAsia="Calibri"/>
          <w:sz w:val="22"/>
          <w:szCs w:val="22"/>
          <w:lang w:eastAsia="en-US"/>
        </w:rPr>
        <w:t>– jednolitość barwy na całej powierzchni długopisu wraz z zatyczką i równomierne rozłożenie barw kolorystycznych, - 0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Pr="00A1169B">
        <w:rPr>
          <w:rFonts w:eastAsia="Calibri"/>
          <w:sz w:val="22"/>
          <w:szCs w:val="22"/>
          <w:lang w:eastAsia="en-US"/>
        </w:rPr>
        <w:t>10 pkt;</w:t>
      </w:r>
    </w:p>
    <w:p w:rsidR="00A1169B" w:rsidRDefault="00A1169B" w:rsidP="00542C93">
      <w:pPr>
        <w:autoSpaceDN w:val="0"/>
        <w:spacing w:after="160" w:line="254" w:lineRule="auto"/>
        <w:jc w:val="both"/>
        <w:rPr>
          <w:rFonts w:eastAsia="Calibri"/>
          <w:sz w:val="22"/>
          <w:szCs w:val="22"/>
          <w:lang w:eastAsia="en-US"/>
        </w:rPr>
      </w:pPr>
      <w:r w:rsidRPr="00A1169B">
        <w:rPr>
          <w:rFonts w:eastAsia="Calibri"/>
          <w:b/>
          <w:sz w:val="22"/>
          <w:szCs w:val="22"/>
          <w:lang w:eastAsia="en-US"/>
        </w:rPr>
        <w:t>- estetyka wykonania</w:t>
      </w:r>
      <w:r w:rsidRPr="00A1169B">
        <w:rPr>
          <w:rFonts w:eastAsia="Calibri"/>
          <w:sz w:val="22"/>
          <w:szCs w:val="22"/>
          <w:lang w:eastAsia="en-US"/>
        </w:rPr>
        <w:t xml:space="preserve"> – sposób końcowego wyglądu produktu</w:t>
      </w:r>
      <w:r w:rsidR="00542C93">
        <w:rPr>
          <w:rFonts w:eastAsia="Calibri"/>
          <w:sz w:val="22"/>
          <w:szCs w:val="22"/>
          <w:lang w:eastAsia="en-US"/>
        </w:rPr>
        <w:t xml:space="preserve"> od 0 do 2 pkt</w:t>
      </w:r>
      <w:r w:rsidRPr="00A1169B">
        <w:rPr>
          <w:rFonts w:eastAsia="Calibri"/>
          <w:sz w:val="22"/>
          <w:szCs w:val="22"/>
          <w:lang w:eastAsia="en-US"/>
        </w:rPr>
        <w:t>, estetyczne połączenie karabińczyka, paska</w:t>
      </w:r>
      <w:r w:rsidR="00542C93">
        <w:rPr>
          <w:rFonts w:eastAsia="Calibri"/>
          <w:sz w:val="22"/>
          <w:szCs w:val="22"/>
          <w:lang w:eastAsia="en-US"/>
        </w:rPr>
        <w:t xml:space="preserve"> od 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="00542C93">
        <w:rPr>
          <w:rFonts w:eastAsia="Calibri"/>
          <w:sz w:val="22"/>
          <w:szCs w:val="22"/>
          <w:lang w:eastAsia="en-US"/>
        </w:rPr>
        <w:t>2 pkt</w:t>
      </w:r>
      <w:r w:rsidRPr="00A1169B">
        <w:rPr>
          <w:rFonts w:eastAsia="Calibri"/>
          <w:sz w:val="22"/>
          <w:szCs w:val="22"/>
          <w:lang w:eastAsia="en-US"/>
        </w:rPr>
        <w:t>, równomierne rozłożenie grafik</w:t>
      </w:r>
      <w:r w:rsidR="00542C93">
        <w:rPr>
          <w:rFonts w:eastAsia="Calibri"/>
          <w:sz w:val="22"/>
          <w:szCs w:val="22"/>
          <w:lang w:eastAsia="en-US"/>
        </w:rPr>
        <w:t xml:space="preserve"> od 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="00542C93">
        <w:rPr>
          <w:rFonts w:eastAsia="Calibri"/>
          <w:sz w:val="22"/>
          <w:szCs w:val="22"/>
          <w:lang w:eastAsia="en-US"/>
        </w:rPr>
        <w:t>2 pkt</w:t>
      </w:r>
      <w:r w:rsidRPr="00A1169B">
        <w:rPr>
          <w:rFonts w:eastAsia="Calibri"/>
          <w:sz w:val="22"/>
          <w:szCs w:val="22"/>
          <w:lang w:eastAsia="en-US"/>
        </w:rPr>
        <w:t>, brak zadrapań</w:t>
      </w:r>
      <w:r w:rsidR="00542C93">
        <w:rPr>
          <w:rFonts w:eastAsia="Calibri"/>
          <w:sz w:val="22"/>
          <w:szCs w:val="22"/>
          <w:lang w:eastAsia="en-US"/>
        </w:rPr>
        <w:t xml:space="preserve"> od 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="00542C93">
        <w:rPr>
          <w:rFonts w:eastAsia="Calibri"/>
          <w:sz w:val="22"/>
          <w:szCs w:val="22"/>
          <w:lang w:eastAsia="en-US"/>
        </w:rPr>
        <w:t>2 pkt</w:t>
      </w:r>
      <w:r w:rsidRPr="00A1169B">
        <w:rPr>
          <w:rFonts w:eastAsia="Calibri"/>
          <w:sz w:val="22"/>
          <w:szCs w:val="22"/>
          <w:lang w:eastAsia="en-US"/>
        </w:rPr>
        <w:t>, estetyczne dopasowanie grafik/znakowania do pola zadruku</w:t>
      </w:r>
      <w:r w:rsidR="00542C93">
        <w:rPr>
          <w:rFonts w:eastAsia="Calibri"/>
          <w:sz w:val="22"/>
          <w:szCs w:val="22"/>
          <w:lang w:eastAsia="en-US"/>
        </w:rPr>
        <w:t xml:space="preserve"> od 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="00542C93">
        <w:rPr>
          <w:rFonts w:eastAsia="Calibri"/>
          <w:sz w:val="22"/>
          <w:szCs w:val="22"/>
          <w:lang w:eastAsia="en-US"/>
        </w:rPr>
        <w:t>2 pkt</w:t>
      </w:r>
      <w:r w:rsidRPr="00A1169B">
        <w:rPr>
          <w:rFonts w:eastAsia="Calibri"/>
          <w:sz w:val="22"/>
          <w:szCs w:val="22"/>
          <w:lang w:eastAsia="en-US"/>
        </w:rPr>
        <w:t xml:space="preserve">, </w:t>
      </w:r>
      <w:r w:rsidR="00542C93">
        <w:rPr>
          <w:rFonts w:eastAsia="Calibri"/>
          <w:sz w:val="22"/>
          <w:szCs w:val="22"/>
          <w:lang w:eastAsia="en-US"/>
        </w:rPr>
        <w:t>RAZEM</w:t>
      </w:r>
      <w:r w:rsidRPr="00A1169B">
        <w:rPr>
          <w:rFonts w:eastAsia="Calibri"/>
          <w:sz w:val="22"/>
          <w:szCs w:val="22"/>
          <w:lang w:eastAsia="en-US"/>
        </w:rPr>
        <w:t xml:space="preserve"> </w:t>
      </w:r>
      <w:r w:rsidR="00C94F9F">
        <w:rPr>
          <w:rFonts w:eastAsia="Calibri"/>
          <w:sz w:val="22"/>
          <w:szCs w:val="22"/>
          <w:lang w:eastAsia="en-US"/>
        </w:rPr>
        <w:t xml:space="preserve">od </w:t>
      </w:r>
      <w:r w:rsidRPr="00A1169B">
        <w:rPr>
          <w:rFonts w:eastAsia="Calibri"/>
          <w:sz w:val="22"/>
          <w:szCs w:val="22"/>
          <w:lang w:eastAsia="en-US"/>
        </w:rPr>
        <w:t>0</w:t>
      </w:r>
      <w:r w:rsidR="00C94F9F">
        <w:rPr>
          <w:rFonts w:eastAsia="Calibri"/>
          <w:sz w:val="22"/>
          <w:szCs w:val="22"/>
          <w:lang w:eastAsia="en-US"/>
        </w:rPr>
        <w:t xml:space="preserve"> do </w:t>
      </w:r>
      <w:r w:rsidRPr="00A1169B">
        <w:rPr>
          <w:rFonts w:eastAsia="Calibri"/>
          <w:sz w:val="22"/>
          <w:szCs w:val="22"/>
          <w:lang w:eastAsia="en-US"/>
        </w:rPr>
        <w:t>10 pkt.</w:t>
      </w:r>
      <w:bookmarkStart w:id="1" w:name="_GoBack"/>
      <w:bookmarkEnd w:id="1"/>
    </w:p>
    <w:p w:rsidR="00542C93" w:rsidRDefault="00542C93" w:rsidP="00542C93">
      <w:pPr>
        <w:autoSpaceDN w:val="0"/>
        <w:spacing w:after="160" w:line="254" w:lineRule="auto"/>
        <w:jc w:val="both"/>
        <w:rPr>
          <w:rFonts w:eastAsia="Calibri"/>
          <w:sz w:val="22"/>
          <w:szCs w:val="22"/>
          <w:lang w:eastAsia="en-US"/>
        </w:rPr>
      </w:pPr>
    </w:p>
    <w:p w:rsidR="00542C93" w:rsidRPr="00A1169B" w:rsidRDefault="00542C93" w:rsidP="00542C93">
      <w:pPr>
        <w:autoSpaceDN w:val="0"/>
        <w:spacing w:after="160" w:line="254" w:lineRule="auto"/>
        <w:jc w:val="both"/>
        <w:rPr>
          <w:rFonts w:eastAsia="Calibri"/>
          <w:i/>
          <w:sz w:val="22"/>
          <w:szCs w:val="22"/>
          <w:lang w:eastAsia="en-US"/>
        </w:rPr>
      </w:pPr>
      <w:r w:rsidRPr="00542C93">
        <w:rPr>
          <w:rFonts w:eastAsia="Calibri"/>
          <w:i/>
          <w:sz w:val="22"/>
          <w:szCs w:val="22"/>
          <w:lang w:eastAsia="en-US"/>
        </w:rPr>
        <w:t>Powyższe zmiany stanowią integralną część SWZ.</w:t>
      </w:r>
    </w:p>
    <w:sectPr w:rsidR="00542C93" w:rsidRPr="00A116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D44" w:rsidRDefault="000B5D44">
      <w:r>
        <w:separator/>
      </w:r>
    </w:p>
  </w:endnote>
  <w:endnote w:type="continuationSeparator" w:id="0">
    <w:p w:rsidR="000B5D44" w:rsidRDefault="000B5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94F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D44" w:rsidRDefault="000B5D44">
      <w:r>
        <w:separator/>
      </w:r>
    </w:p>
  </w:footnote>
  <w:footnote w:type="continuationSeparator" w:id="0">
    <w:p w:rsidR="000B5D44" w:rsidRDefault="000B5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5B3" w:rsidRDefault="009645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5B3" w:rsidRDefault="009645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5B3" w:rsidRDefault="009645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D44"/>
    <w:rsid w:val="00057D02"/>
    <w:rsid w:val="000613E0"/>
    <w:rsid w:val="000B5D44"/>
    <w:rsid w:val="000B6563"/>
    <w:rsid w:val="001A571A"/>
    <w:rsid w:val="002B1C74"/>
    <w:rsid w:val="00384EFD"/>
    <w:rsid w:val="00411613"/>
    <w:rsid w:val="004222DA"/>
    <w:rsid w:val="00453E59"/>
    <w:rsid w:val="00460DC4"/>
    <w:rsid w:val="00480C83"/>
    <w:rsid w:val="004F55D3"/>
    <w:rsid w:val="005079A4"/>
    <w:rsid w:val="00542C93"/>
    <w:rsid w:val="0055546F"/>
    <w:rsid w:val="005C0930"/>
    <w:rsid w:val="006D4AE5"/>
    <w:rsid w:val="007F5283"/>
    <w:rsid w:val="00854803"/>
    <w:rsid w:val="0087224A"/>
    <w:rsid w:val="008E06CE"/>
    <w:rsid w:val="009149C3"/>
    <w:rsid w:val="00953AA1"/>
    <w:rsid w:val="0095641D"/>
    <w:rsid w:val="009645B3"/>
    <w:rsid w:val="009D169F"/>
    <w:rsid w:val="00A1169B"/>
    <w:rsid w:val="00A73CA7"/>
    <w:rsid w:val="00B26D41"/>
    <w:rsid w:val="00B361A9"/>
    <w:rsid w:val="00C152AE"/>
    <w:rsid w:val="00C94F9F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93C100"/>
  <w15:chartTrackingRefBased/>
  <w15:docId w15:val="{537DC835-29C4-4C4F-A1F2-7AC85C46E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2</Pages>
  <Words>600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4</cp:revision>
  <cp:lastPrinted>2001-02-10T18:08:00Z</cp:lastPrinted>
  <dcterms:created xsi:type="dcterms:W3CDTF">2024-11-25T07:12:00Z</dcterms:created>
  <dcterms:modified xsi:type="dcterms:W3CDTF">2024-11-25T08:55:00Z</dcterms:modified>
</cp:coreProperties>
</file>