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1212C92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120 godzin</w:t>
      </w:r>
      <w:r w:rsidRPr="00813CEA">
        <w:t xml:space="preserve"> w miesiącu – 1 pielęgniarka/pielęgniarz</w:t>
      </w:r>
      <w:r>
        <w:t>.</w:t>
      </w:r>
    </w:p>
    <w:p w14:paraId="50B7C62A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 w miesiącu – 1 pielęgniarka/pielęgniarz.</w:t>
      </w:r>
    </w:p>
    <w:p w14:paraId="353A0D07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p w14:paraId="0F12A23C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Chorób Wewnętrznych, Endokrynologii i Diabetologii - </w:t>
      </w:r>
      <w:bookmarkStart w:id="0" w:name="_Hlk180427205"/>
      <w:r>
        <w:t>przeciętnie</w:t>
      </w:r>
      <w:bookmarkEnd w:id="0"/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p w14:paraId="58E67F5C" w14:textId="77777777" w:rsidR="00103372" w:rsidRDefault="00103372" w:rsidP="00103372">
      <w:pPr>
        <w:pStyle w:val="Nagwek"/>
        <w:jc w:val="both"/>
      </w:pPr>
      <w:bookmarkStart w:id="1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zakresie leczenia i opieki nad pacjentami z tętniczym nadciśnieniem płucnym w Klinice Kardiologii</w:t>
      </w:r>
      <w:r w:rsidRPr="00813CEA">
        <w:t xml:space="preserve"> </w:t>
      </w:r>
      <w:r>
        <w:t>przeciętnie 80 godzin</w:t>
      </w:r>
      <w:r w:rsidRPr="00813CEA">
        <w:t xml:space="preserve"> w miesiącu – 1 pielęgniarka/pielęgniarz</w:t>
      </w:r>
      <w:r>
        <w:t>.</w:t>
      </w:r>
    </w:p>
    <w:p w14:paraId="1DB0C2AB" w14:textId="77777777" w:rsidR="00103372" w:rsidRDefault="00103372" w:rsidP="00103372">
      <w:pPr>
        <w:pStyle w:val="Nagwek"/>
        <w:jc w:val="both"/>
      </w:pPr>
      <w:bookmarkStart w:id="2" w:name="_Hlk173832918"/>
      <w:bookmarkEnd w:id="1"/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Gastroenterologii i Chorób Wewnętrznych </w:t>
      </w:r>
      <w:r w:rsidRPr="00F81DAE">
        <w:t>średniomiesięcznie</w:t>
      </w:r>
      <w:r>
        <w:t xml:space="preserve"> 90 godzin w miesiącu</w:t>
      </w:r>
      <w:r w:rsidRPr="00813CEA">
        <w:t xml:space="preserve"> – 1 pielęgniarka/pielęgniarz</w:t>
      </w:r>
      <w:r>
        <w:t>.</w:t>
      </w:r>
    </w:p>
    <w:bookmarkEnd w:id="2"/>
    <w:p w14:paraId="35C8D3BA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- </w:t>
      </w:r>
      <w:r w:rsidRPr="00813CEA">
        <w:t xml:space="preserve">Udzielanie świadczeń zdrowotnych w zakresie </w:t>
      </w:r>
      <w:r>
        <w:t>czynności zawodowych pielęgniarki w Oddziale Torakochirurgii przeciętnie 72 godziny w miesiącu</w:t>
      </w:r>
      <w:r w:rsidRPr="00813CEA">
        <w:t xml:space="preserve"> – 1 pielęgniarka/pielęgniarz</w:t>
      </w:r>
      <w:r>
        <w:t>.</w:t>
      </w:r>
    </w:p>
    <w:p w14:paraId="746F692C" w14:textId="77777777" w:rsidR="00103372" w:rsidRDefault="00103372" w:rsidP="00103372">
      <w:pPr>
        <w:pStyle w:val="Nagwek"/>
        <w:jc w:val="both"/>
      </w:pPr>
    </w:p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5C5D7DC1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209B0EC" w14:textId="77777777" w:rsidR="00103372" w:rsidRDefault="00103372" w:rsidP="001033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</w:t>
      </w:r>
      <w:r w:rsidRPr="00F81DAE">
        <w:t>średniomiesięcznie</w:t>
      </w:r>
      <w:r>
        <w:t xml:space="preserve"> 180 godzin w miesiącu oraz pozostawanie w gotowości do udzielania świadczeń</w:t>
      </w:r>
      <w:r w:rsidRPr="00813CEA">
        <w:t xml:space="preserve"> </w:t>
      </w:r>
      <w:r>
        <w:t xml:space="preserve">przeciętnie 100 godzin w miesiącu </w:t>
      </w:r>
      <w:r w:rsidRPr="00813CEA">
        <w:t>– 1 pielęgniarka/pielęgniarz</w:t>
      </w:r>
      <w:r>
        <w:t>.</w:t>
      </w:r>
    </w:p>
    <w:p w14:paraId="0AA68635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sectPr w:rsidR="0088024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8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9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  <w:num w:numId="21" w16cid:durableId="1091438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4251C4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B6649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3</Pages>
  <Words>1264</Words>
  <Characters>7585</Characters>
  <Application>Microsoft Office Word</Application>
  <DocSecurity>0</DocSecurity>
  <Lines>63</Lines>
  <Paragraphs>17</Paragraphs>
  <ScaleCrop>false</ScaleCrop>
  <Company/>
  <LinksUpToDate>false</LinksUpToDate>
  <CharactersWithSpaces>8832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22</cp:revision>
  <dcterms:created xsi:type="dcterms:W3CDTF">2023-04-20T12:11:00Z</dcterms:created>
  <dcterms:modified xsi:type="dcterms:W3CDTF">2024-10-21T16:22:00Z</dcterms:modified>
</cp:coreProperties>
</file>