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D7B706" w14:textId="77777777" w:rsidR="000D0413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2024-09-12</w:t>
      </w:r>
    </w:p>
    <w:p w14:paraId="63955192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77777777" w:rsidR="000D0413" w:rsidRDefault="0000000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DE-dzp.272-456/24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00000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AFD4C6F" w14:textId="77777777" w:rsidR="000D0413" w:rsidRDefault="00000000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</w:p>
    <w:p w14:paraId="2269FFBD" w14:textId="77777777" w:rsidR="000D0413" w:rsidRDefault="00000000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Dostawa urządzeń sieciowych - switchy (2 szt.) - dla CRI AGH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DE-dzp.272-456/24.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77777777" w:rsidR="000D0413" w:rsidRDefault="0000000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000000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07A5F864" w14:textId="77777777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>W wymaganiach na przełącznik znajduje się parametr mówiący o głębokości Switch-a: 350 mm, wskazuje to jednoznacznie na jednego producenta, co jest niezgodne z ustawą o zamówieniach publicznych. Typowa głębokość szafy serwerowej jest znacznie większa, czy zamawiający dopuści przełącznik o głębokości 450 mm?</w:t>
      </w:r>
    </w:p>
    <w:p w14:paraId="0536D200" w14:textId="77777777" w:rsidR="000D0413" w:rsidRDefault="000D0413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232300EA" w14:textId="77777777" w:rsidR="000D0413" w:rsidRDefault="00000000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Odpowiedź Zamawiającego</w:t>
      </w:r>
    </w:p>
    <w:p w14:paraId="10E6E110" w14:textId="30805B1F" w:rsidR="000D0413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dopuszcza dostawy przełącznika o głębokości 450 mm, ponieważ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posiadane szafki (ZPAS Z-CUBE) nie są standardowymi szafami serwerowymi (głębokość użytkowa wynosi 415 mm)</w:t>
      </w:r>
      <w:r w:rsidR="0017484B">
        <w:rPr>
          <w:sz w:val="22"/>
          <w:szCs w:val="22"/>
        </w:rPr>
        <w:br/>
      </w:r>
      <w:r>
        <w:rPr>
          <w:sz w:val="22"/>
          <w:szCs w:val="22"/>
        </w:rPr>
        <w:t>i switche o większej głębokości nie będą pasowały.</w:t>
      </w:r>
    </w:p>
    <w:p w14:paraId="0454DD69" w14:textId="77777777" w:rsidR="000D0413" w:rsidRDefault="000D0413">
      <w:pPr>
        <w:jc w:val="both"/>
        <w:rPr>
          <w:b/>
          <w:bCs/>
          <w:sz w:val="22"/>
          <w:szCs w:val="22"/>
        </w:rPr>
      </w:pPr>
    </w:p>
    <w:p w14:paraId="46BEBA45" w14:textId="77777777" w:rsidR="000D0413" w:rsidRDefault="00000000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 nie ulegają zmianie.</w:t>
      </w:r>
    </w:p>
    <w:sectPr w:rsidR="000D0413">
      <w:footerReference w:type="even" r:id="rId7"/>
      <w:footerReference w:type="default" r:id="rId8"/>
      <w:footerReference w:type="first" r:id="rId9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3113EC" w14:textId="77777777" w:rsidR="006252C4" w:rsidRDefault="006252C4">
      <w:r>
        <w:separator/>
      </w:r>
    </w:p>
  </w:endnote>
  <w:endnote w:type="continuationSeparator" w:id="0">
    <w:p w14:paraId="284E7FDA" w14:textId="77777777" w:rsidR="006252C4" w:rsidRDefault="00625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9E764" w14:textId="77777777" w:rsidR="000D0413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5423986"/>
      <w:docPartObj>
        <w:docPartGallery w:val="Page Numbers (Bottom of Page)"/>
        <w:docPartUnique/>
      </w:docPartObj>
    </w:sdtPr>
    <w:sdtContent>
      <w:p w14:paraId="44EFF792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92658187"/>
      <w:docPartObj>
        <w:docPartGallery w:val="Page Numbers (Bottom of Page)"/>
        <w:docPartUnique/>
      </w:docPartObj>
    </w:sdtPr>
    <w:sdtContent>
      <w:p w14:paraId="0340E163" w14:textId="77777777" w:rsidR="000D0413" w:rsidRDefault="00000000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AE455" w14:textId="77777777" w:rsidR="006252C4" w:rsidRDefault="006252C4">
      <w:r>
        <w:separator/>
      </w:r>
    </w:p>
  </w:footnote>
  <w:footnote w:type="continuationSeparator" w:id="0">
    <w:p w14:paraId="25643A7E" w14:textId="77777777" w:rsidR="006252C4" w:rsidRDefault="006252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44580"/>
    <w:rsid w:val="000D0413"/>
    <w:rsid w:val="0017484B"/>
    <w:rsid w:val="0062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1313</Characters>
  <Application>Microsoft Office Word</Application>
  <DocSecurity>0</DocSecurity>
  <Lines>10</Lines>
  <Paragraphs>3</Paragraphs>
  <ScaleCrop>false</ScaleCrop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2</cp:revision>
  <cp:lastPrinted>2024-09-12T10:25:00Z</cp:lastPrinted>
  <dcterms:created xsi:type="dcterms:W3CDTF">2024-09-13T10:39:00Z</dcterms:created>
  <dcterms:modified xsi:type="dcterms:W3CDTF">2024-09-13T10:39:00Z</dcterms:modified>
  <dc:language>pl-PL</dc:language>
</cp:coreProperties>
</file>