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CE187" w14:textId="643E7653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BC3376">
        <w:rPr>
          <w:rFonts w:ascii="Times New Roman" w:eastAsia="Calibri" w:hAnsi="Times New Roman" w:cs="Times New Roman"/>
          <w:b/>
        </w:rPr>
        <w:t>52</w:t>
      </w:r>
      <w:r w:rsidR="00E67D01">
        <w:rPr>
          <w:rFonts w:ascii="Times New Roman" w:eastAsia="Calibri" w:hAnsi="Times New Roman" w:cs="Times New Roman"/>
          <w:b/>
        </w:rPr>
        <w:t>/202</w:t>
      </w:r>
      <w:r w:rsidR="006A4A69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463283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2411F560" w14:textId="2B1F377B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BC3376">
        <w:rPr>
          <w:rFonts w:ascii="Times New Roman" w:hAnsi="Times New Roman" w:cs="Times New Roman"/>
          <w:b/>
          <w:bCs/>
          <w:sz w:val="21"/>
          <w:szCs w:val="21"/>
        </w:rPr>
        <w:t>„</w:t>
      </w:r>
      <w:r w:rsidR="00BC3376" w:rsidRPr="00BC3376">
        <w:rPr>
          <w:rFonts w:ascii="Times New Roman" w:hAnsi="Times New Roman" w:cs="Times New Roman"/>
          <w:b/>
          <w:bCs/>
          <w:sz w:val="21"/>
          <w:szCs w:val="21"/>
        </w:rPr>
        <w:t>Zakup sprzętu do diagnostyki patomorfologicznej w ramach Narodowej Strategii Onkologicznej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BC3376">
        <w:rPr>
          <w:rFonts w:ascii="Times New Roman" w:eastAsia="Calibri" w:hAnsi="Times New Roman" w:cs="Times New Roman"/>
          <w:b/>
        </w:rPr>
        <w:t xml:space="preserve"> </w:t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9CD96" w14:textId="0F8F3CAC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130F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1789"/>
    <w:rsid w:val="00A478EF"/>
    <w:rsid w:val="00A731D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C29E7"/>
    <w:rsid w:val="00BC3376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2022-07-05T12:55:00Z</cp:lastPrinted>
  <dcterms:created xsi:type="dcterms:W3CDTF">2024-08-26T10:52:00Z</dcterms:created>
  <dcterms:modified xsi:type="dcterms:W3CDTF">2024-08-27T06:28:00Z</dcterms:modified>
</cp:coreProperties>
</file>