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3FD0" w:rsidRPr="0007023F" w:rsidRDefault="006B3FD0" w:rsidP="006B3FD0">
      <w:pPr>
        <w:spacing w:after="0" w:line="240" w:lineRule="auto"/>
        <w:jc w:val="right"/>
        <w:rPr>
          <w:rFonts w:ascii="Verdana" w:hAnsi="Verdana"/>
          <w:b/>
          <w:sz w:val="18"/>
        </w:rPr>
      </w:pPr>
      <w:r w:rsidRPr="0007023F">
        <w:rPr>
          <w:rFonts w:ascii="Verdana" w:hAnsi="Verdana"/>
          <w:b/>
          <w:sz w:val="18"/>
        </w:rPr>
        <w:t>Załącznik A</w:t>
      </w:r>
    </w:p>
    <w:p w:rsidR="00390B69" w:rsidRPr="0007023F" w:rsidRDefault="00390B69" w:rsidP="006B3FD0">
      <w:pPr>
        <w:spacing w:after="0" w:line="240" w:lineRule="auto"/>
        <w:jc w:val="right"/>
        <w:rPr>
          <w:rFonts w:ascii="Verdana" w:hAnsi="Verdana"/>
          <w:b/>
          <w:sz w:val="18"/>
        </w:rPr>
      </w:pPr>
      <w:r w:rsidRPr="0007023F">
        <w:rPr>
          <w:rFonts w:ascii="Verdana" w:hAnsi="Verdana"/>
          <w:b/>
          <w:sz w:val="18"/>
        </w:rPr>
        <w:t>do oświadczenia gwarancyjnego Wykonawcy-Gwaranta</w:t>
      </w:r>
    </w:p>
    <w:p w:rsidR="006B3FD0" w:rsidRPr="0007023F" w:rsidRDefault="006B3FD0" w:rsidP="006B3FD0">
      <w:pPr>
        <w:spacing w:after="0" w:line="240" w:lineRule="auto"/>
        <w:rPr>
          <w:rFonts w:ascii="Verdana" w:hAnsi="Verdana"/>
          <w:sz w:val="18"/>
        </w:rPr>
      </w:pPr>
    </w:p>
    <w:p w:rsidR="006B3FD0" w:rsidRPr="0007023F" w:rsidRDefault="006B3FD0" w:rsidP="006B3FD0">
      <w:pPr>
        <w:spacing w:after="0" w:line="240" w:lineRule="auto"/>
        <w:rPr>
          <w:rFonts w:ascii="Verdana" w:hAnsi="Verdana"/>
          <w:sz w:val="18"/>
        </w:rPr>
      </w:pPr>
    </w:p>
    <w:p w:rsidR="0024392E" w:rsidRPr="0007023F" w:rsidRDefault="0024392E" w:rsidP="006B3FD0">
      <w:pPr>
        <w:spacing w:after="0" w:line="240" w:lineRule="auto"/>
        <w:rPr>
          <w:rFonts w:ascii="Verdana" w:hAnsi="Verdana"/>
          <w:sz w:val="18"/>
        </w:rPr>
      </w:pPr>
      <w:r w:rsidRPr="0007023F">
        <w:rPr>
          <w:rFonts w:ascii="Verdana" w:hAnsi="Verdana"/>
          <w:sz w:val="18"/>
        </w:rPr>
        <w:t>Wykonawca-Gwarant zobowiązany jest do wykonywania, w całym okresie obowiązywania gwarancji, czynności:</w:t>
      </w:r>
    </w:p>
    <w:p w:rsidR="006B3FD0" w:rsidRPr="0007023F" w:rsidRDefault="006B3FD0" w:rsidP="006B3FD0">
      <w:pPr>
        <w:spacing w:after="0" w:line="240" w:lineRule="auto"/>
        <w:rPr>
          <w:rFonts w:ascii="Verdana" w:hAnsi="Verdana"/>
          <w:sz w:val="18"/>
        </w:rPr>
      </w:pPr>
    </w:p>
    <w:p w:rsidR="0024392E" w:rsidRPr="0007023F" w:rsidRDefault="0024392E" w:rsidP="006B3FD0">
      <w:pPr>
        <w:pStyle w:val="Akapitzlist"/>
        <w:numPr>
          <w:ilvl w:val="0"/>
          <w:numId w:val="3"/>
        </w:numPr>
        <w:tabs>
          <w:tab w:val="left" w:pos="426"/>
        </w:tabs>
        <w:spacing w:after="0" w:line="240" w:lineRule="auto"/>
        <w:ind w:left="426" w:hanging="426"/>
        <w:jc w:val="both"/>
        <w:rPr>
          <w:rFonts w:ascii="Verdana" w:hAnsi="Verdana"/>
          <w:sz w:val="18"/>
        </w:rPr>
      </w:pPr>
      <w:r w:rsidRPr="0007023F">
        <w:rPr>
          <w:rFonts w:ascii="Verdana" w:hAnsi="Verdana"/>
          <w:sz w:val="18"/>
        </w:rPr>
        <w:t>niezbędnych do zgodnego z prawem użytkowania elementów i urządzeń podlegających uregulowaniu w polskim prawie **</w:t>
      </w:r>
    </w:p>
    <w:p w:rsidR="0024392E" w:rsidRPr="0007023F" w:rsidRDefault="0024392E" w:rsidP="006B3FD0">
      <w:pPr>
        <w:pStyle w:val="Akapitzlist"/>
        <w:numPr>
          <w:ilvl w:val="0"/>
          <w:numId w:val="3"/>
        </w:numPr>
        <w:tabs>
          <w:tab w:val="left" w:pos="426"/>
        </w:tabs>
        <w:spacing w:after="0" w:line="240" w:lineRule="auto"/>
        <w:ind w:left="426" w:hanging="426"/>
        <w:jc w:val="both"/>
        <w:rPr>
          <w:rFonts w:ascii="Verdana" w:hAnsi="Verdana"/>
          <w:sz w:val="18"/>
        </w:rPr>
      </w:pPr>
      <w:r w:rsidRPr="0007023F">
        <w:rPr>
          <w:rFonts w:ascii="Verdana" w:hAnsi="Verdana"/>
          <w:sz w:val="18"/>
        </w:rPr>
        <w:t>zapewniających pozostawanie eksploatowanych elementów w niepogorszonej (w stosunku do wynikających z normalnej eksploatacji) funkcjonalności i stanie ***</w:t>
      </w:r>
    </w:p>
    <w:p w:rsidR="0024392E" w:rsidRPr="0007023F" w:rsidRDefault="0024392E" w:rsidP="006B3FD0">
      <w:pPr>
        <w:pStyle w:val="Akapitzlist"/>
        <w:numPr>
          <w:ilvl w:val="0"/>
          <w:numId w:val="3"/>
        </w:numPr>
        <w:tabs>
          <w:tab w:val="left" w:pos="426"/>
        </w:tabs>
        <w:spacing w:after="0" w:line="240" w:lineRule="auto"/>
        <w:ind w:left="426" w:hanging="426"/>
        <w:jc w:val="both"/>
        <w:rPr>
          <w:rFonts w:ascii="Verdana" w:hAnsi="Verdana"/>
          <w:sz w:val="18"/>
        </w:rPr>
      </w:pPr>
      <w:r w:rsidRPr="0007023F">
        <w:rPr>
          <w:rFonts w:ascii="Verdana" w:hAnsi="Verdana"/>
          <w:sz w:val="18"/>
        </w:rPr>
        <w:t>konserwacyjnych i obsługowych urządzeń klimatyzacyjnych (w szczególności czyszczenie, odgrzybianie, sprawdzanie i uzupełnianie czynnika chłodniczego) minimum 2 raz w roku (w kwietniu i listopadzie). Czynności te winny być realizowane zgodnie przepisami Ustawy z dnia 15 maja 2015 o substancjach zubożających warstwę ozonową oraz niektórych fluorowanych gazach cieplarnianych. ***</w:t>
      </w:r>
    </w:p>
    <w:p w:rsidR="0024392E" w:rsidRPr="0007023F" w:rsidRDefault="0024392E" w:rsidP="006B3FD0">
      <w:pPr>
        <w:pStyle w:val="Akapitzlist"/>
        <w:numPr>
          <w:ilvl w:val="0"/>
          <w:numId w:val="3"/>
        </w:numPr>
        <w:tabs>
          <w:tab w:val="left" w:pos="426"/>
        </w:tabs>
        <w:spacing w:after="0" w:line="240" w:lineRule="auto"/>
        <w:ind w:left="426" w:hanging="426"/>
        <w:jc w:val="both"/>
        <w:rPr>
          <w:rFonts w:ascii="Verdana" w:hAnsi="Verdana"/>
          <w:sz w:val="18"/>
        </w:rPr>
      </w:pPr>
      <w:r w:rsidRPr="0007023F">
        <w:rPr>
          <w:rFonts w:ascii="Verdana" w:hAnsi="Verdana"/>
          <w:sz w:val="18"/>
        </w:rPr>
        <w:t>konserwacyjnych i obsługowych urządzeń wentylacyjnych (w szczególności czyszczenie, wymiana filtrów, sprawdzanie wszystkich elementów instalacji w tym klap ppoż.) minimum 4 razy w roku (raz na kwartał). ***</w:t>
      </w:r>
    </w:p>
    <w:p w:rsidR="0024392E" w:rsidRPr="0007023F" w:rsidRDefault="0024392E" w:rsidP="006B3FD0">
      <w:pPr>
        <w:pStyle w:val="Akapitzlist"/>
        <w:numPr>
          <w:ilvl w:val="0"/>
          <w:numId w:val="3"/>
        </w:numPr>
        <w:tabs>
          <w:tab w:val="left" w:pos="426"/>
        </w:tabs>
        <w:spacing w:after="0" w:line="240" w:lineRule="auto"/>
        <w:ind w:left="426" w:hanging="426"/>
        <w:jc w:val="both"/>
        <w:rPr>
          <w:rFonts w:ascii="Verdana" w:hAnsi="Verdana"/>
          <w:sz w:val="18"/>
        </w:rPr>
      </w:pPr>
      <w:r w:rsidRPr="0007023F">
        <w:rPr>
          <w:rFonts w:ascii="Verdana" w:hAnsi="Verdana"/>
          <w:sz w:val="18"/>
        </w:rPr>
        <w:t>konserwacyjnych i obsługowych urządzenia do dezynfekcji wody użytkowej w szczególności uzupełnianie czynników aktywnych minimum 2 razy w roku (raz na pół roku). ***</w:t>
      </w:r>
    </w:p>
    <w:p w:rsidR="0024392E" w:rsidRPr="0007023F" w:rsidRDefault="0024392E" w:rsidP="006B3FD0">
      <w:pPr>
        <w:pStyle w:val="Akapitzlist"/>
        <w:numPr>
          <w:ilvl w:val="0"/>
          <w:numId w:val="3"/>
        </w:numPr>
        <w:tabs>
          <w:tab w:val="left" w:pos="426"/>
        </w:tabs>
        <w:spacing w:after="0" w:line="240" w:lineRule="auto"/>
        <w:ind w:left="426" w:hanging="426"/>
        <w:jc w:val="both"/>
        <w:rPr>
          <w:rFonts w:ascii="Verdana" w:hAnsi="Verdana"/>
          <w:sz w:val="18"/>
        </w:rPr>
      </w:pPr>
      <w:r w:rsidRPr="0007023F">
        <w:rPr>
          <w:rFonts w:ascii="Verdana" w:hAnsi="Verdana"/>
          <w:sz w:val="18"/>
        </w:rPr>
        <w:t>konserwacyjnych i obsługowych urządzeń wymiennikowni (w szczególności czyszczenie filtrów, sprawdzanie wszystkich elementów instalacji w tym uzupełnianie zładu, odpowietrzenia zładu) minimum 2 razy w roku (raz na pół roku). ***</w:t>
      </w:r>
    </w:p>
    <w:p w:rsidR="0024392E" w:rsidRPr="0007023F" w:rsidRDefault="0024392E" w:rsidP="006B3FD0">
      <w:pPr>
        <w:pStyle w:val="Akapitzlist"/>
        <w:numPr>
          <w:ilvl w:val="0"/>
          <w:numId w:val="3"/>
        </w:numPr>
        <w:tabs>
          <w:tab w:val="left" w:pos="426"/>
        </w:tabs>
        <w:spacing w:after="0" w:line="240" w:lineRule="auto"/>
        <w:ind w:left="426" w:hanging="426"/>
        <w:jc w:val="both"/>
        <w:rPr>
          <w:rFonts w:ascii="Verdana" w:hAnsi="Verdana"/>
          <w:sz w:val="18"/>
        </w:rPr>
      </w:pPr>
      <w:r w:rsidRPr="0007023F">
        <w:rPr>
          <w:rFonts w:ascii="Verdana" w:hAnsi="Verdana"/>
          <w:sz w:val="18"/>
        </w:rPr>
        <w:t>konserwacyjnych i obsługowych instalacji hydrantowej i gaśnic (w szczególności sprawdzanie wydajności i ciśnienia na poszczególnych hydrantach, hydroforni - dokonanie pomiarów i raportu za potwierdzeniem i przekazaniem użytkownikowi - minimum 1 raz w roku. ***</w:t>
      </w:r>
    </w:p>
    <w:p w:rsidR="0024392E" w:rsidRPr="0007023F" w:rsidRDefault="0024392E" w:rsidP="006B3FD0">
      <w:pPr>
        <w:pStyle w:val="Akapitzlist"/>
        <w:numPr>
          <w:ilvl w:val="0"/>
          <w:numId w:val="3"/>
        </w:numPr>
        <w:tabs>
          <w:tab w:val="left" w:pos="426"/>
        </w:tabs>
        <w:spacing w:after="0" w:line="240" w:lineRule="auto"/>
        <w:ind w:left="426" w:hanging="426"/>
        <w:jc w:val="both"/>
        <w:rPr>
          <w:rFonts w:ascii="Verdana" w:hAnsi="Verdana"/>
          <w:sz w:val="18"/>
        </w:rPr>
      </w:pPr>
      <w:r w:rsidRPr="0007023F">
        <w:rPr>
          <w:rFonts w:ascii="Verdana" w:hAnsi="Verdana"/>
          <w:sz w:val="18"/>
        </w:rPr>
        <w:t>konserwacyjnych i obsługowych urządzeń SAP i współpracujących z nim systemów tj. DSO, oddymiania, napowietrzania, KD (raz na kwartał/rok*) udokumentowanych odpowiednimi pomiarami i protokołami.</w:t>
      </w:r>
    </w:p>
    <w:p w:rsidR="0024392E" w:rsidRPr="0007023F" w:rsidRDefault="0024392E" w:rsidP="006B3FD0">
      <w:pPr>
        <w:pStyle w:val="Akapitzlist"/>
        <w:numPr>
          <w:ilvl w:val="0"/>
          <w:numId w:val="3"/>
        </w:numPr>
        <w:tabs>
          <w:tab w:val="left" w:pos="426"/>
        </w:tabs>
        <w:spacing w:after="0" w:line="240" w:lineRule="auto"/>
        <w:ind w:left="426" w:hanging="426"/>
        <w:jc w:val="both"/>
        <w:rPr>
          <w:rFonts w:ascii="Verdana" w:hAnsi="Verdana"/>
          <w:sz w:val="18"/>
        </w:rPr>
      </w:pPr>
      <w:r w:rsidRPr="0007023F">
        <w:rPr>
          <w:rFonts w:ascii="Verdana" w:hAnsi="Verdana"/>
          <w:sz w:val="18"/>
        </w:rPr>
        <w:t>konserwacyjnych i obsługowych oświetlenia awaryjnego (raz na kwartał/rok*) udokumentowanych odpowiednimi pomiarami i protokołami.</w:t>
      </w:r>
    </w:p>
    <w:p w:rsidR="0024392E" w:rsidRPr="0007023F" w:rsidRDefault="0024392E" w:rsidP="006B3FD0">
      <w:pPr>
        <w:pStyle w:val="Akapitzlist"/>
        <w:numPr>
          <w:ilvl w:val="0"/>
          <w:numId w:val="3"/>
        </w:numPr>
        <w:tabs>
          <w:tab w:val="left" w:pos="426"/>
        </w:tabs>
        <w:spacing w:after="0" w:line="240" w:lineRule="auto"/>
        <w:ind w:left="426" w:hanging="426"/>
        <w:jc w:val="both"/>
        <w:rPr>
          <w:rFonts w:ascii="Verdana" w:hAnsi="Verdana"/>
          <w:sz w:val="18"/>
        </w:rPr>
      </w:pPr>
      <w:r w:rsidRPr="0007023F">
        <w:rPr>
          <w:rFonts w:ascii="Verdana" w:hAnsi="Verdana"/>
          <w:sz w:val="18"/>
        </w:rPr>
        <w:t>konserwacyjnych i obsługowych wyłączników pożarowych (raz na rok) udokumentowanych odpowiednimi pomiarami i protokołami.</w:t>
      </w:r>
    </w:p>
    <w:p w:rsidR="0024392E" w:rsidRPr="0007023F" w:rsidRDefault="0024392E" w:rsidP="006B3FD0">
      <w:pPr>
        <w:pStyle w:val="Akapitzlist"/>
        <w:numPr>
          <w:ilvl w:val="0"/>
          <w:numId w:val="3"/>
        </w:numPr>
        <w:tabs>
          <w:tab w:val="left" w:pos="426"/>
        </w:tabs>
        <w:spacing w:after="0" w:line="240" w:lineRule="auto"/>
        <w:ind w:left="426" w:hanging="426"/>
        <w:jc w:val="both"/>
        <w:rPr>
          <w:rFonts w:ascii="Verdana" w:hAnsi="Verdana"/>
          <w:sz w:val="18"/>
        </w:rPr>
      </w:pPr>
      <w:r w:rsidRPr="0007023F">
        <w:rPr>
          <w:rFonts w:ascii="Verdana" w:hAnsi="Verdana"/>
          <w:sz w:val="18"/>
        </w:rPr>
        <w:t>konserwacyjnych i obsługowych instalacji fotowoltaicznej (raz na rok) udokumentowanych odpowiednimi pomiarami i protokołami.</w:t>
      </w:r>
    </w:p>
    <w:p w:rsidR="0024392E" w:rsidRPr="0007023F" w:rsidRDefault="0024392E" w:rsidP="006B3FD0">
      <w:pPr>
        <w:pStyle w:val="Akapitzlist"/>
        <w:numPr>
          <w:ilvl w:val="0"/>
          <w:numId w:val="3"/>
        </w:numPr>
        <w:tabs>
          <w:tab w:val="left" w:pos="426"/>
        </w:tabs>
        <w:spacing w:after="0" w:line="240" w:lineRule="auto"/>
        <w:ind w:left="426" w:hanging="426"/>
        <w:jc w:val="both"/>
        <w:rPr>
          <w:rFonts w:ascii="Verdana" w:hAnsi="Verdana"/>
          <w:sz w:val="18"/>
        </w:rPr>
      </w:pPr>
      <w:r w:rsidRPr="0007023F">
        <w:rPr>
          <w:rFonts w:ascii="Verdana" w:hAnsi="Verdana"/>
          <w:sz w:val="18"/>
        </w:rPr>
        <w:t>konserwacyjnych i obsługowych dźwigu osobowego (raz w miesiącu) udokumentowanych odpowiednimi pomiarami i protokołami.</w:t>
      </w:r>
    </w:p>
    <w:p w:rsidR="0024392E" w:rsidRPr="0007023F" w:rsidRDefault="0024392E" w:rsidP="006B3FD0">
      <w:pPr>
        <w:pStyle w:val="Akapitzlist"/>
        <w:numPr>
          <w:ilvl w:val="0"/>
          <w:numId w:val="3"/>
        </w:numPr>
        <w:tabs>
          <w:tab w:val="left" w:pos="426"/>
        </w:tabs>
        <w:spacing w:after="0" w:line="240" w:lineRule="auto"/>
        <w:ind w:left="426" w:hanging="426"/>
        <w:jc w:val="both"/>
        <w:rPr>
          <w:rFonts w:ascii="Verdana" w:hAnsi="Verdana"/>
          <w:sz w:val="18"/>
        </w:rPr>
      </w:pPr>
      <w:r w:rsidRPr="0007023F">
        <w:rPr>
          <w:rFonts w:ascii="Verdana" w:hAnsi="Verdana"/>
          <w:sz w:val="18"/>
        </w:rPr>
        <w:t>Niezbędne do realizacji tych czynności materiały dostarcza Wykonawca-Gwarant przy czym koszty tych czynności ponosi Wykonawca-Gwarant, a Zamawiający koszty materiałów eksploatacyjnych. Każdorazowo po przeprowadzeniu przedmiotowych czynności sporządzony będzie właściwy protokół podpisany przez obie strony. Prowadzenie przez Zamawiającego pozostałych czynności eksploatacyjnych urządzeń nie powoduje utraty praw gwarancyjnych (np. uwalnianie pasażerów z zablokowanych wind).</w:t>
      </w:r>
      <w:bookmarkStart w:id="0" w:name="_GoBack"/>
      <w:bookmarkEnd w:id="0"/>
    </w:p>
    <w:p w:rsidR="006B3FD0" w:rsidRPr="0007023F" w:rsidRDefault="006B3FD0" w:rsidP="006B3FD0">
      <w:pPr>
        <w:spacing w:after="0" w:line="240" w:lineRule="auto"/>
        <w:rPr>
          <w:rFonts w:ascii="Verdana" w:hAnsi="Verdana"/>
          <w:sz w:val="18"/>
        </w:rPr>
      </w:pPr>
    </w:p>
    <w:p w:rsidR="0024392E" w:rsidRPr="0007023F" w:rsidRDefault="0024392E" w:rsidP="006B3FD0">
      <w:pPr>
        <w:spacing w:after="0" w:line="240" w:lineRule="auto"/>
        <w:jc w:val="both"/>
        <w:rPr>
          <w:rFonts w:ascii="Verdana" w:hAnsi="Verdana"/>
          <w:sz w:val="18"/>
        </w:rPr>
      </w:pPr>
      <w:r w:rsidRPr="0007023F">
        <w:rPr>
          <w:rFonts w:ascii="Verdana" w:hAnsi="Verdana"/>
          <w:sz w:val="18"/>
        </w:rPr>
        <w:t>Wykonawca-Gwarant, zobowiązany jest do opracowania i przekazania Zamawiającemu, wraz z dokumentacją powykonawczą, szczegółowego harmonogramu czynności konserwacyjnych, o których mowa w lit. c). W przypadku nie wykonania czynności konserwacyjnych i obsługowych lub niedostarczenia odpowiednich protokołów, o których mowa w lit. c), w terminach określonych w harmonogramie, Zamawiający ma prawo bez dodatkowego wezwania zlecić ich wykonanie innemu podmiotowi na koszt i ryzyko Wykonawcy-Gwaranta. Zamawiający nie będzie uzgadniał z Wykonawcą-Gwarantem kosztów takich czynności. Wykonawca-Gwarant zobowiązany jest do pokrycia tych kosztów w ciągu 14 dni od daty otrzymania dowodu ich zapłaty przez Zamawiającego. Koszty takich czynności będą odpowiadać wartościom rynkowym.</w:t>
      </w:r>
    </w:p>
    <w:p w:rsidR="00390B69" w:rsidRPr="0007023F" w:rsidRDefault="00390B69" w:rsidP="006B3FD0">
      <w:pPr>
        <w:spacing w:after="0" w:line="240" w:lineRule="auto"/>
        <w:ind w:left="567" w:hanging="567"/>
        <w:jc w:val="both"/>
        <w:rPr>
          <w:rFonts w:ascii="Verdana" w:hAnsi="Verdana"/>
          <w:i/>
          <w:iCs/>
        </w:rPr>
      </w:pPr>
    </w:p>
    <w:p w:rsidR="00390B69" w:rsidRPr="0007023F" w:rsidRDefault="00390B69" w:rsidP="006B3FD0">
      <w:pPr>
        <w:spacing w:after="0" w:line="240" w:lineRule="auto"/>
        <w:ind w:left="567" w:hanging="567"/>
        <w:jc w:val="both"/>
        <w:rPr>
          <w:rFonts w:ascii="Verdana" w:hAnsi="Verdana"/>
          <w:i/>
          <w:iCs/>
        </w:rPr>
      </w:pPr>
    </w:p>
    <w:p w:rsidR="006B3FD0" w:rsidRPr="0007023F" w:rsidRDefault="006B3FD0" w:rsidP="006B3FD0">
      <w:pPr>
        <w:spacing w:after="0" w:line="240" w:lineRule="auto"/>
        <w:ind w:left="567" w:hanging="567"/>
        <w:jc w:val="both"/>
        <w:rPr>
          <w:rFonts w:ascii="Verdana" w:hAnsi="Verdana"/>
          <w:i/>
          <w:iCs/>
          <w:sz w:val="16"/>
          <w:szCs w:val="16"/>
        </w:rPr>
      </w:pPr>
      <w:r w:rsidRPr="0007023F">
        <w:rPr>
          <w:rFonts w:ascii="Verdana" w:hAnsi="Verdana"/>
          <w:i/>
          <w:iCs/>
          <w:sz w:val="16"/>
          <w:szCs w:val="16"/>
        </w:rPr>
        <w:t>*</w:t>
      </w:r>
      <w:r w:rsidRPr="0007023F">
        <w:rPr>
          <w:rFonts w:ascii="Verdana" w:hAnsi="Verdana"/>
          <w:i/>
          <w:iCs/>
          <w:sz w:val="16"/>
          <w:szCs w:val="16"/>
        </w:rPr>
        <w:tab/>
        <w:t>niepotrzebne skreślić</w:t>
      </w:r>
    </w:p>
    <w:p w:rsidR="006B3FD0" w:rsidRPr="0007023F" w:rsidRDefault="006B3FD0" w:rsidP="006B3FD0">
      <w:pPr>
        <w:spacing w:after="0" w:line="240" w:lineRule="auto"/>
        <w:ind w:left="567" w:hanging="567"/>
        <w:jc w:val="both"/>
        <w:rPr>
          <w:rFonts w:ascii="Verdana" w:hAnsi="Verdana"/>
          <w:sz w:val="16"/>
          <w:szCs w:val="16"/>
        </w:rPr>
      </w:pPr>
      <w:r w:rsidRPr="0007023F">
        <w:rPr>
          <w:rFonts w:ascii="Verdana" w:hAnsi="Verdana"/>
          <w:i/>
          <w:iCs/>
          <w:sz w:val="16"/>
          <w:szCs w:val="16"/>
        </w:rPr>
        <w:t>**</w:t>
      </w:r>
      <w:r w:rsidRPr="0007023F">
        <w:rPr>
          <w:rFonts w:ascii="Verdana" w:hAnsi="Verdana"/>
          <w:i/>
          <w:iCs/>
          <w:sz w:val="16"/>
          <w:szCs w:val="16"/>
        </w:rPr>
        <w:tab/>
        <w:t>czynności konserwacyjne i obsługowe uregulowane w przepisach prawnych, których wykonywanie jest niezbędne do dopuszczenia określonych urządzeń do eksploatacji (np. Ustawa o dozorze technicznym, o ochronie przeciwpożarowej)</w:t>
      </w:r>
    </w:p>
    <w:p w:rsidR="004503EA" w:rsidRDefault="006B3FD0" w:rsidP="0007023F">
      <w:pPr>
        <w:spacing w:after="0" w:line="240" w:lineRule="auto"/>
        <w:ind w:left="567" w:hanging="567"/>
        <w:jc w:val="both"/>
      </w:pPr>
      <w:r w:rsidRPr="0007023F">
        <w:rPr>
          <w:rFonts w:ascii="Verdana" w:hAnsi="Verdana"/>
          <w:i/>
          <w:iCs/>
          <w:sz w:val="16"/>
          <w:szCs w:val="16"/>
        </w:rPr>
        <w:t>***</w:t>
      </w:r>
      <w:r w:rsidRPr="0007023F">
        <w:rPr>
          <w:rFonts w:ascii="Verdana" w:hAnsi="Verdana"/>
          <w:i/>
          <w:iCs/>
          <w:sz w:val="16"/>
          <w:szCs w:val="16"/>
        </w:rPr>
        <w:tab/>
        <w:t>czynności konserwacyjne i obsługowe wymagane przez producentów lub dostawców urządzeń (np. w Dokumentacji Techniczno-Ruchowej, instrukcji obsługi urządzenia), które zapewniają ich bezpieczną eksploatację i trwałość w okresie gwarancji. Szczegółowy zakres powyższych czynności jest uzależniony od konkretnych modeli/typów urządzeń, których zaoferowanie leży w gestii Wykonawcy-Gwaranta.</w:t>
      </w:r>
    </w:p>
    <w:sectPr w:rsidR="004503E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0727D9"/>
    <w:multiLevelType w:val="multilevel"/>
    <w:tmpl w:val="F594D238"/>
    <w:lvl w:ilvl="0">
      <w:start w:val="1"/>
      <w:numFmt w:val="decimal"/>
      <w:lvlText w:val="%1."/>
      <w:lvlJc w:val="left"/>
      <w:pPr>
        <w:tabs>
          <w:tab w:val="num" w:pos="720"/>
        </w:tabs>
        <w:ind w:left="720" w:hanging="360"/>
      </w:pPr>
    </w:lvl>
    <w:lvl w:ilvl="1">
      <w:start w:val="2"/>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7C5E97"/>
    <w:multiLevelType w:val="multilevel"/>
    <w:tmpl w:val="0BEE06E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86E22F9"/>
    <w:multiLevelType w:val="hybridMultilevel"/>
    <w:tmpl w:val="D550F430"/>
    <w:lvl w:ilvl="0" w:tplc="53985EDA">
      <w:start w:val="1"/>
      <w:numFmt w:val="decimal"/>
      <w:lvlText w:val="%1)"/>
      <w:lvlJc w:val="left"/>
      <w:pPr>
        <w:ind w:left="1004" w:hanging="360"/>
      </w:pPr>
      <w:rPr>
        <w:rFonts w:hint="default"/>
        <w:color w:val="auto"/>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15:restartNumberingAfterBreak="0">
    <w:nsid w:val="3A051EDF"/>
    <w:multiLevelType w:val="hybridMultilevel"/>
    <w:tmpl w:val="00C26926"/>
    <w:lvl w:ilvl="0" w:tplc="1E006B90">
      <w:numFmt w:val="bullet"/>
      <w:lvlText w:val="•"/>
      <w:lvlJc w:val="left"/>
      <w:pPr>
        <w:ind w:left="644" w:hanging="360"/>
      </w:pPr>
      <w:rPr>
        <w:rFonts w:ascii="Calibri" w:eastAsiaTheme="minorHAnsi" w:hAnsi="Calibri" w:cstheme="minorBidi"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23DF"/>
    <w:rsid w:val="0007023F"/>
    <w:rsid w:val="0024392E"/>
    <w:rsid w:val="00390B69"/>
    <w:rsid w:val="003C0D5F"/>
    <w:rsid w:val="006B3FD0"/>
    <w:rsid w:val="006B68B6"/>
    <w:rsid w:val="0091264A"/>
    <w:rsid w:val="00A023D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32B310-A828-44D5-86CE-10B0000AC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B3F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9857250">
      <w:bodyDiv w:val="1"/>
      <w:marLeft w:val="0"/>
      <w:marRight w:val="0"/>
      <w:marTop w:val="0"/>
      <w:marBottom w:val="0"/>
      <w:divBdr>
        <w:top w:val="none" w:sz="0" w:space="0" w:color="auto"/>
        <w:left w:val="none" w:sz="0" w:space="0" w:color="auto"/>
        <w:bottom w:val="none" w:sz="0" w:space="0" w:color="auto"/>
        <w:right w:val="none" w:sz="0" w:space="0" w:color="auto"/>
      </w:divBdr>
    </w:div>
    <w:div w:id="834884287">
      <w:bodyDiv w:val="1"/>
      <w:marLeft w:val="0"/>
      <w:marRight w:val="0"/>
      <w:marTop w:val="0"/>
      <w:marBottom w:val="0"/>
      <w:divBdr>
        <w:top w:val="none" w:sz="0" w:space="0" w:color="auto"/>
        <w:left w:val="none" w:sz="0" w:space="0" w:color="auto"/>
        <w:bottom w:val="none" w:sz="0" w:space="0" w:color="auto"/>
        <w:right w:val="none" w:sz="0" w:space="0" w:color="auto"/>
      </w:divBdr>
    </w:div>
    <w:div w:id="924875237">
      <w:bodyDiv w:val="1"/>
      <w:marLeft w:val="0"/>
      <w:marRight w:val="0"/>
      <w:marTop w:val="0"/>
      <w:marBottom w:val="0"/>
      <w:divBdr>
        <w:top w:val="none" w:sz="0" w:space="0" w:color="auto"/>
        <w:left w:val="none" w:sz="0" w:space="0" w:color="auto"/>
        <w:bottom w:val="none" w:sz="0" w:space="0" w:color="auto"/>
        <w:right w:val="none" w:sz="0" w:space="0" w:color="auto"/>
      </w:divBdr>
    </w:div>
    <w:div w:id="925303055">
      <w:bodyDiv w:val="1"/>
      <w:marLeft w:val="0"/>
      <w:marRight w:val="0"/>
      <w:marTop w:val="0"/>
      <w:marBottom w:val="0"/>
      <w:divBdr>
        <w:top w:val="none" w:sz="0" w:space="0" w:color="auto"/>
        <w:left w:val="none" w:sz="0" w:space="0" w:color="auto"/>
        <w:bottom w:val="none" w:sz="0" w:space="0" w:color="auto"/>
        <w:right w:val="none" w:sz="0" w:space="0" w:color="auto"/>
      </w:divBdr>
    </w:div>
    <w:div w:id="1109813179">
      <w:bodyDiv w:val="1"/>
      <w:marLeft w:val="0"/>
      <w:marRight w:val="0"/>
      <w:marTop w:val="0"/>
      <w:marBottom w:val="0"/>
      <w:divBdr>
        <w:top w:val="none" w:sz="0" w:space="0" w:color="auto"/>
        <w:left w:val="none" w:sz="0" w:space="0" w:color="auto"/>
        <w:bottom w:val="none" w:sz="0" w:space="0" w:color="auto"/>
        <w:right w:val="none" w:sz="0" w:space="0" w:color="auto"/>
      </w:divBdr>
    </w:div>
    <w:div w:id="1732658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1</Pages>
  <Words>607</Words>
  <Characters>3646</Characters>
  <Application>Microsoft Office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Szłapa</dc:creator>
  <cp:keywords/>
  <dc:description/>
  <cp:lastModifiedBy>Łukasz Szłapa</cp:lastModifiedBy>
  <cp:revision>4</cp:revision>
  <dcterms:created xsi:type="dcterms:W3CDTF">2024-08-05T07:09:00Z</dcterms:created>
  <dcterms:modified xsi:type="dcterms:W3CDTF">2024-08-05T10:45:00Z</dcterms:modified>
</cp:coreProperties>
</file>