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AF6D329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F970B8" w:rsidRPr="00F970B8">
        <w:rPr>
          <w:rFonts w:ascii="Arial" w:hAnsi="Arial" w:cs="Arial"/>
          <w:b/>
          <w:bCs/>
          <w:sz w:val="21"/>
          <w:szCs w:val="21"/>
        </w:rPr>
        <w:t>Zakup i dostawa produktów farmaceutycznych do programu lekowego oraz chemioterapii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F970B8">
        <w:rPr>
          <w:rFonts w:ascii="Arial" w:hAnsi="Arial" w:cs="Arial"/>
          <w:b/>
          <w:bCs/>
          <w:sz w:val="21"/>
          <w:szCs w:val="21"/>
        </w:rPr>
        <w:t>4</w:t>
      </w:r>
      <w:r w:rsidR="002816B3">
        <w:rPr>
          <w:rFonts w:ascii="Arial" w:hAnsi="Arial" w:cs="Arial"/>
          <w:b/>
          <w:bCs/>
          <w:sz w:val="21"/>
          <w:szCs w:val="21"/>
        </w:rPr>
        <w:t>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B1E54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13</cp:revision>
  <cp:lastPrinted>2016-07-26T10:32:00Z</cp:lastPrinted>
  <dcterms:created xsi:type="dcterms:W3CDTF">2022-05-09T10:10:00Z</dcterms:created>
  <dcterms:modified xsi:type="dcterms:W3CDTF">2024-07-24T12:02:00Z</dcterms:modified>
</cp:coreProperties>
</file>