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ED6AA" w14:textId="77777777" w:rsidR="00EB1359" w:rsidRPr="003261E7" w:rsidRDefault="00D408C2" w:rsidP="00EB1359">
      <w:pPr>
        <w:spacing w:after="240"/>
        <w:jc w:val="right"/>
        <w:rPr>
          <w:sz w:val="22"/>
          <w:szCs w:val="22"/>
        </w:rPr>
      </w:pPr>
      <w:r w:rsidRPr="00D408C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408C2">
        <w:rPr>
          <w:sz w:val="22"/>
          <w:szCs w:val="22"/>
        </w:rPr>
        <w:t>2024-07-09</w:t>
      </w:r>
    </w:p>
    <w:p w14:paraId="4B5DFEF0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00A2C7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158543A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4A4191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663C0B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BE587F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F9D29B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B56A41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5E269FD" w14:textId="1BA9260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E73987">
        <w:rPr>
          <w:b/>
          <w:sz w:val="28"/>
          <w:szCs w:val="24"/>
        </w:rPr>
        <w:t>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408C2" w:rsidRPr="003261E7" w14:paraId="5D27D176" w14:textId="77777777" w:rsidTr="00550C63">
        <w:trPr>
          <w:trHeight w:val="638"/>
        </w:trPr>
        <w:tc>
          <w:tcPr>
            <w:tcW w:w="959" w:type="dxa"/>
            <w:shd w:val="clear" w:color="auto" w:fill="auto"/>
          </w:tcPr>
          <w:p w14:paraId="7A08E201" w14:textId="77777777" w:rsidR="00D408C2" w:rsidRPr="003261E7" w:rsidRDefault="00D408C2" w:rsidP="00550C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D32B10" w14:textId="0E1B8362" w:rsidR="00D408C2" w:rsidRPr="003261E7" w:rsidRDefault="00D408C2" w:rsidP="00550C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08C2">
              <w:rPr>
                <w:sz w:val="22"/>
                <w:szCs w:val="22"/>
              </w:rPr>
              <w:t>podstawowy</w:t>
            </w:r>
            <w:r w:rsidR="00E73987">
              <w:rPr>
                <w:sz w:val="22"/>
                <w:szCs w:val="22"/>
              </w:rPr>
              <w:t>m</w:t>
            </w:r>
            <w:r w:rsidRPr="00D408C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408C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408C2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408C2">
              <w:rPr>
                <w:b/>
                <w:sz w:val="22"/>
                <w:szCs w:val="22"/>
              </w:rPr>
              <w:t>ZP/34/2024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B9B951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AB3DC3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114E92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A42351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5B88AD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BA1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5B8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3A9D76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408C2" w:rsidRPr="00EB1359" w14:paraId="0AE5D22D" w14:textId="77777777" w:rsidTr="00550C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40F3" w14:textId="77777777" w:rsidR="00D408C2" w:rsidRPr="00710915" w:rsidRDefault="00D408C2" w:rsidP="00550C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08C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9FFE" w14:textId="508C11AE" w:rsidR="00D408C2" w:rsidRPr="00EB1359" w:rsidRDefault="00D408C2" w:rsidP="00550C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08C2">
              <w:rPr>
                <w:b/>
                <w:sz w:val="22"/>
                <w:szCs w:val="22"/>
              </w:rPr>
              <w:t xml:space="preserve">Pakiet 3 - Szew </w:t>
            </w:r>
            <w:proofErr w:type="spellStart"/>
            <w:r w:rsidRPr="00D408C2">
              <w:rPr>
                <w:b/>
                <w:sz w:val="22"/>
                <w:szCs w:val="22"/>
              </w:rPr>
              <w:t>wchłanialny</w:t>
            </w:r>
            <w:proofErr w:type="spellEnd"/>
            <w:r w:rsidRPr="00D408C2">
              <w:rPr>
                <w:b/>
                <w:sz w:val="22"/>
                <w:szCs w:val="22"/>
              </w:rPr>
              <w:t>, syntetyczny, pleciony, powlekany, okres efektywnego podtrzymywania tkanki  28</w:t>
            </w:r>
            <w:r w:rsidR="00E73987">
              <w:rPr>
                <w:b/>
                <w:sz w:val="22"/>
                <w:szCs w:val="22"/>
              </w:rPr>
              <w:t xml:space="preserve"> </w:t>
            </w:r>
            <w:r w:rsidRPr="00D408C2">
              <w:rPr>
                <w:b/>
                <w:sz w:val="22"/>
                <w:szCs w:val="22"/>
              </w:rPr>
              <w:t>- 35 dni, okres całkowitego wchłonięcia masy szwu maksymalnie 70 dni</w:t>
            </w:r>
          </w:p>
          <w:p w14:paraId="0070948A" w14:textId="77777777" w:rsidR="00D408C2" w:rsidRDefault="00D408C2" w:rsidP="00550C6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3F788E5" w14:textId="71846E9E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Zgodnie z art. 255 pkt 6 Ustawy 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Pzp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Zamawiający unieważnia postępowanie </w:t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br/>
              <w:t xml:space="preserve">o udzielenie zamówienia, jeżeli postępowanie obarczone jest niemożliwą do usunięcia wadą uniemożliwiającą zawarcie niepodlegającej unieważnieniu umowy w sprawie zamówienia publicznego. </w:t>
            </w:r>
          </w:p>
          <w:p w14:paraId="5CEB6F97" w14:textId="77777777" w:rsid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Uzasadnienie faktyczne: </w:t>
            </w:r>
          </w:p>
          <w:p w14:paraId="3A4B76D1" w14:textId="00948628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Obowiązkiem zamawiającego jest unieważnienie postępowania w każdym przypadku, jeśli łącznie zostaną spełnione następujące przesłanki:</w:t>
            </w:r>
          </w:p>
          <w:p w14:paraId="7C1A1543" w14:textId="77777777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1. dojdzie do naruszenia przepisów 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pzp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regulujących udzielenie zamówienia (wada postępowania),</w:t>
            </w:r>
          </w:p>
          <w:p w14:paraId="0FAEB210" w14:textId="77777777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2. wada musi być niemożliwa do usunięcia,</w:t>
            </w:r>
          </w:p>
          <w:p w14:paraId="3BF1DA11" w14:textId="4F24E380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3. wada ma skutkować niemożliwością zawarcia niepodlegającej unieważnieniu umowy </w:t>
            </w:r>
            <w:r>
              <w:rPr>
                <w:rFonts w:eastAsia="Calibri"/>
                <w:kern w:val="2"/>
                <w:sz w:val="22"/>
                <w:szCs w:val="22"/>
                <w:lang w:eastAsia="en-US"/>
              </w:rPr>
              <w:br/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o udzielenie zamówienia publicznego.</w:t>
            </w:r>
          </w:p>
          <w:p w14:paraId="4847983D" w14:textId="77777777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Do unieważnienia postępowania dochodzi wyłącznie wtedy, gdy zamawiający nie może </w:t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lastRenderedPageBreak/>
              <w:t xml:space="preserve">dokonać czynności sanującej popełnione uchybienie, która umożliwiłaby mu kontynuowanie postępowania w sposób wolny od wad. Tylko bowiem w takim przypadku zawarcie umowy nastąpi zgodnie z art. 17 ust. 2 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pzp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. </w:t>
            </w:r>
          </w:p>
          <w:p w14:paraId="7DA842BC" w14:textId="4CD39A6B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Zamawiający w wyjaśnieniach do SWZ - 1, 3, 5, 6, 7 z dnia 18.06.2024r. poinformował </w:t>
            </w:r>
            <w:r>
              <w:rPr>
                <w:rFonts w:eastAsia="Calibri"/>
                <w:kern w:val="2"/>
                <w:sz w:val="22"/>
                <w:szCs w:val="22"/>
                <w:lang w:eastAsia="en-US"/>
              </w:rPr>
              <w:br/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o zamieszczeniu na stronie internetowej prowadzonego postępowania </w:t>
            </w:r>
            <w:hyperlink r:id="rId8" w:history="1">
              <w:r w:rsidRPr="00E73987">
                <w:rPr>
                  <w:rFonts w:eastAsia="Calibri"/>
                  <w:color w:val="0563C1"/>
                  <w:kern w:val="2"/>
                  <w:sz w:val="22"/>
                  <w:szCs w:val="22"/>
                  <w:u w:val="single"/>
                  <w:lang w:eastAsia="en-US"/>
                </w:rPr>
                <w:t>https://e-propublico.pl</w:t>
              </w:r>
            </w:hyperlink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oraz na stronie </w:t>
            </w:r>
            <w:hyperlink r:id="rId9" w:history="1">
              <w:r w:rsidRPr="00E73987">
                <w:rPr>
                  <w:rFonts w:eastAsia="Calibri"/>
                  <w:color w:val="0563C1"/>
                  <w:kern w:val="2"/>
                  <w:sz w:val="22"/>
                  <w:szCs w:val="22"/>
                  <w:u w:val="single"/>
                  <w:lang w:eastAsia="en-US"/>
                </w:rPr>
                <w:t>https://www.narutowicz.krakow.pl/</w:t>
              </w:r>
            </w:hyperlink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Zmodyfikowanego załącznika nr 1 z wprowadzoną zmianą w zakresie pakietu nr 3 do poz. 12 i 17 m.in. </w:t>
            </w:r>
            <w:r>
              <w:rPr>
                <w:rFonts w:eastAsia="Calibri"/>
                <w:kern w:val="2"/>
                <w:sz w:val="22"/>
                <w:szCs w:val="22"/>
                <w:lang w:eastAsia="en-US"/>
              </w:rPr>
              <w:br/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z powodu błędnie wprowadzonego przekroju igły (&gt;), na prawidłowy -</w:t>
            </w:r>
            <w:r w:rsidRPr="00E73987"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  <w:t xml:space="preserve"> </w:t>
            </w:r>
            <w:r w:rsidRPr="00E73987">
              <w:rPr>
                <w:rFonts w:ascii="Wingdings" w:eastAsia="Calibri" w:hAnsi="Wingdings" w:cs="Calibri"/>
                <w:kern w:val="2"/>
                <w:sz w:val="32"/>
                <w:szCs w:val="32"/>
                <w:lang w:eastAsia="en-US"/>
              </w:rPr>
              <w:t>&gt;</w:t>
            </w:r>
            <w:r w:rsidRPr="00E73987"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  <w:t xml:space="preserve">. </w:t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Ponadto Zamawiający w odpowiedzi na wnioski Wykonawców o wyjaśnienie treści SWZ  - 6 </w:t>
            </w:r>
            <w:r>
              <w:rPr>
                <w:rFonts w:eastAsia="Calibri"/>
                <w:kern w:val="2"/>
                <w:sz w:val="22"/>
                <w:szCs w:val="22"/>
                <w:lang w:eastAsia="en-US"/>
              </w:rPr>
              <w:br/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z dnia 18.06.2024 na pytanie dot. Pakietu 3, poz. 12, 17: „Czy Zamawiający wymaga igły okrągłej czy igły okrągłej z tnącym ostrzem?” Zamawiający udzielił odpowiedzi: "Zamawiający dopuszcza igłę okrągłą z zaostrzonym końcem”. Symbol przekroju igły</w:t>
            </w:r>
            <w:r w:rsidRPr="00E73987"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  <w:t xml:space="preserve"> </w:t>
            </w:r>
            <w:r w:rsidRPr="00E73987">
              <w:rPr>
                <w:rFonts w:ascii="Wingdings" w:eastAsia="Calibri" w:hAnsi="Wingdings" w:cs="Calibri"/>
                <w:kern w:val="2"/>
                <w:sz w:val="32"/>
                <w:szCs w:val="32"/>
                <w:lang w:eastAsia="en-US"/>
              </w:rPr>
              <w:t>&gt;</w:t>
            </w:r>
            <w:r w:rsidRPr="00E73987">
              <w:rPr>
                <w:rFonts w:eastAsia="Calibri"/>
                <w:kern w:val="2"/>
                <w:sz w:val="32"/>
                <w:szCs w:val="32"/>
                <w:lang w:eastAsia="en-US"/>
              </w:rPr>
              <w:t xml:space="preserve"> </w:t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w poz. 12 i 17 odpowiada przekrojowi igły okrągłej z tnącym ostrzem (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przyostrzonej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), natomiast Zamawiający w odpowiedzi użył określenia iż wymaga igły zaostrzonej, co sugeruje Wykonawcom, że Zamawiający wymaga igły okrągło-tnącej (</w:t>
            </w:r>
            <w:r w:rsidRPr="00E73987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>zaostrzonej</w:t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).</w:t>
            </w:r>
          </w:p>
          <w:p w14:paraId="3B1519B0" w14:textId="54676683" w:rsidR="00E73987" w:rsidRPr="00E73987" w:rsidRDefault="00E73987" w:rsidP="00E73987">
            <w:pPr>
              <w:spacing w:after="160" w:line="256" w:lineRule="auto"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Wykonawca 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Tramco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złożył najkorzystniejszą ofertę cenową do pakietu nr 3 proponując </w:t>
            </w:r>
            <w:r>
              <w:rPr>
                <w:rFonts w:eastAsia="Calibri"/>
                <w:kern w:val="2"/>
                <w:sz w:val="22"/>
                <w:szCs w:val="22"/>
                <w:lang w:eastAsia="en-US"/>
              </w:rPr>
              <w:br/>
            </w: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w pozycji 12 i 17 Igłę okrągłą </w:t>
            </w:r>
            <w:proofErr w:type="spellStart"/>
            <w:r w:rsidRPr="00E73987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>przyostrzoną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(Zamawiający w wyjaśnieniach do SWZ podawał opis do poz. 12 i 17, że ma być zaostrzona) o przekroju zgodnym ze Zmodyfikowanym załącznikiem nr 1, tj.</w:t>
            </w:r>
            <w:r w:rsidRPr="00E73987"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  <w:t xml:space="preserve"> </w:t>
            </w:r>
            <w:r w:rsidRPr="00E73987">
              <w:rPr>
                <w:rFonts w:ascii="Wingdings" w:eastAsia="Calibri" w:hAnsi="Wingdings" w:cs="Calibri"/>
                <w:kern w:val="2"/>
                <w:sz w:val="32"/>
                <w:szCs w:val="32"/>
                <w:lang w:eastAsia="en-US"/>
              </w:rPr>
              <w:t>&gt;</w:t>
            </w:r>
            <w:r w:rsidRPr="00E73987"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  <w:t xml:space="preserve">. </w:t>
            </w:r>
          </w:p>
          <w:p w14:paraId="3387444A" w14:textId="77777777" w:rsidR="00E73987" w:rsidRPr="00E73987" w:rsidRDefault="00E73987" w:rsidP="00E73987">
            <w:pPr>
              <w:spacing w:after="160" w:line="25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Wykonawca 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Yavo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, zgodnie z udzieloną odpowiedzią zaproponował do pakietu nr 3 poz. 12 i 17 igłę z zaostrzonym końcem. Ponadto należy dodać iż oferent w swoim katalogu posiada igłę </w:t>
            </w:r>
            <w:proofErr w:type="spellStart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przyostrzoną</w:t>
            </w:r>
            <w:proofErr w:type="spellEnd"/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, jaką Zamawiający oczekiwał. Ze względu na interpretację błędnej odpowiedzi Zamawiającego Wykonawca zaoferował inny produkt.</w:t>
            </w:r>
          </w:p>
          <w:p w14:paraId="73F4A188" w14:textId="4C4A698E" w:rsidR="00D408C2" w:rsidRPr="00E73987" w:rsidRDefault="00E73987" w:rsidP="00E73987">
            <w:pPr>
              <w:spacing w:after="160" w:line="256" w:lineRule="auto"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en-US"/>
              </w:rPr>
            </w:pPr>
            <w:r w:rsidRPr="00E73987">
              <w:rPr>
                <w:rFonts w:eastAsia="Calibri"/>
                <w:kern w:val="2"/>
                <w:sz w:val="22"/>
                <w:szCs w:val="22"/>
                <w:lang w:eastAsia="en-US"/>
              </w:rPr>
              <w:t>Nieprecyzyjnie sformułowana odpowiedź Zamawiającego spowodowała, iż Wykonawcy odmiennie ją zinterpretowali, a co za tym idzie złożyli nieporównywalne oferty. Opisana sytuacja mogła spowodować również ograniczenie konkurencji. W związku z powyższym Zamawiający zmuszony jest unieważnia postępowanie w Pakiecie 3 na podstawie art. 255 ust. 6 - postępowanie obarczone jest niemożliwą do usunięcia wadą.</w:t>
            </w:r>
          </w:p>
        </w:tc>
      </w:tr>
    </w:tbl>
    <w:p w14:paraId="2DBCADE3" w14:textId="77777777" w:rsidR="00010B31" w:rsidRDefault="00010B31"/>
    <w:sectPr w:rsidR="00010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8EDD2" w14:textId="77777777" w:rsidR="00D408C2" w:rsidRDefault="00D408C2" w:rsidP="00D408C2">
      <w:r>
        <w:separator/>
      </w:r>
    </w:p>
  </w:endnote>
  <w:endnote w:type="continuationSeparator" w:id="0">
    <w:p w14:paraId="29C56DBA" w14:textId="77777777" w:rsidR="00D408C2" w:rsidRDefault="00D408C2" w:rsidP="00D4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C36B8" w14:textId="77777777" w:rsidR="00D408C2" w:rsidRDefault="00D408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B216C" w14:textId="77777777" w:rsidR="00D408C2" w:rsidRDefault="00D408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D3FC7" w14:textId="77777777" w:rsidR="00D408C2" w:rsidRDefault="00D408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10CB1" w14:textId="77777777" w:rsidR="00D408C2" w:rsidRDefault="00D408C2" w:rsidP="00D408C2">
      <w:r>
        <w:separator/>
      </w:r>
    </w:p>
  </w:footnote>
  <w:footnote w:type="continuationSeparator" w:id="0">
    <w:p w14:paraId="7E58AC4D" w14:textId="77777777" w:rsidR="00D408C2" w:rsidRDefault="00D408C2" w:rsidP="00D40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7C7B9" w14:textId="77777777" w:rsidR="00D408C2" w:rsidRDefault="00D40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C56B5" w14:textId="77777777" w:rsidR="00D408C2" w:rsidRDefault="00D408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2658F" w14:textId="77777777" w:rsidR="00D408C2" w:rsidRDefault="00D408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490"/>
    <w:rsid w:val="00010B31"/>
    <w:rsid w:val="00104963"/>
    <w:rsid w:val="00150F65"/>
    <w:rsid w:val="00456490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08C2"/>
    <w:rsid w:val="00D41670"/>
    <w:rsid w:val="00D44D12"/>
    <w:rsid w:val="00E403D2"/>
    <w:rsid w:val="00E73987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F92A7"/>
  <w15:chartTrackingRefBased/>
  <w15:docId w15:val="{D19EA2A6-33D1-4B6F-909A-5DCFF844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40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08C2"/>
  </w:style>
  <w:style w:type="character" w:styleId="Hipercze">
    <w:name w:val="Hyperlink"/>
    <w:basedOn w:val="Domylnaczcionkaakapitu"/>
    <w:rsid w:val="00E739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73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2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arutowicz.krakow.pl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9566E-D04D-47B2-BCFA-C6C0E947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519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dcterms:created xsi:type="dcterms:W3CDTF">2024-07-09T08:02:00Z</dcterms:created>
  <dcterms:modified xsi:type="dcterms:W3CDTF">2024-07-09T08:08:00Z</dcterms:modified>
</cp:coreProperties>
</file>