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3AF6F" w14:textId="77777777" w:rsidR="00C05DBE" w:rsidRPr="00AE27EF" w:rsidRDefault="00C05DBE" w:rsidP="00F07C97">
      <w:pPr>
        <w:jc w:val="center"/>
        <w:outlineLvl w:val="0"/>
        <w:rPr>
          <w:rFonts w:asciiTheme="minorHAnsi" w:hAnsiTheme="minorHAnsi" w:cstheme="minorHAnsi"/>
          <w:b/>
        </w:rPr>
      </w:pPr>
      <w:r w:rsidRPr="00AE27EF">
        <w:rPr>
          <w:rFonts w:asciiTheme="minorHAnsi" w:hAnsiTheme="minorHAnsi" w:cstheme="minorHAnsi"/>
          <w:b/>
        </w:rPr>
        <w:t xml:space="preserve">Zakres czynności serwisowych dla </w:t>
      </w:r>
      <w:r w:rsidR="00F07C97">
        <w:rPr>
          <w:rFonts w:asciiTheme="minorHAnsi" w:hAnsiTheme="minorHAnsi" w:cstheme="minorHAnsi"/>
          <w:b/>
        </w:rPr>
        <w:t xml:space="preserve">analizatorów parametrów krytycznych Radiometer ABL 90 Flex Plus </w:t>
      </w:r>
    </w:p>
    <w:p w14:paraId="2CDE220C" w14:textId="77777777" w:rsidR="00C05DBE" w:rsidRPr="00EB3DC8" w:rsidRDefault="00C05DBE" w:rsidP="00AE27EF">
      <w:pPr>
        <w:jc w:val="both"/>
        <w:rPr>
          <w:rFonts w:asciiTheme="minorHAnsi" w:hAnsiTheme="minorHAnsi" w:cstheme="minorHAnsi"/>
        </w:rPr>
      </w:pPr>
    </w:p>
    <w:p w14:paraId="60CCEF6A" w14:textId="77777777" w:rsidR="00C05DBE" w:rsidRPr="00EB3DC8" w:rsidRDefault="00C05DBE" w:rsidP="00C05DBE">
      <w:pPr>
        <w:jc w:val="both"/>
        <w:rPr>
          <w:rFonts w:asciiTheme="minorHAnsi" w:hAnsiTheme="minorHAnsi" w:cstheme="minorHAnsi"/>
          <w:b/>
        </w:rPr>
      </w:pPr>
    </w:p>
    <w:p w14:paraId="3109932B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>P</w:t>
      </w:r>
      <w:r w:rsidR="00F07C97">
        <w:rPr>
          <w:rFonts w:asciiTheme="minorHAnsi" w:hAnsiTheme="minorHAnsi" w:cstheme="minorHAnsi"/>
          <w:b/>
          <w:sz w:val="22"/>
        </w:rPr>
        <w:t>rzeglądy okresowe – 1 raz w rok</w:t>
      </w:r>
    </w:p>
    <w:p w14:paraId="575FB468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Regularne przeglądy okresowe – planowane czynności konserwacyjne, które są realizowane zgodnie z zaleceniami wytwórcy, importera lub dystrybutora, wynikające ze specyfiki użytkowanego wyrobu i obejmujące w szczególności: </w:t>
      </w:r>
      <w:r w:rsidR="00F07C97">
        <w:rPr>
          <w:rFonts w:asciiTheme="minorHAnsi" w:hAnsiTheme="minorHAnsi" w:cstheme="minorHAnsi"/>
          <w:sz w:val="22"/>
        </w:rPr>
        <w:t xml:space="preserve">wymianę elementów zestawu przeglądowego, odbiałczanie układu pomiarowego, czyszczenie rolki pompy perystaltycznej, testy serwisowe, kalibrację, kontrolę jakości </w:t>
      </w:r>
    </w:p>
    <w:p w14:paraId="0D98E72E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Dokumentacja przeglądów obejmująca raport z wykonanych testów funkcjonalnych oraz testów bezpieczeństwa elektrycznego według procedury producenta.</w:t>
      </w:r>
    </w:p>
    <w:p w14:paraId="3DE98AAE" w14:textId="77777777" w:rsidR="00C05DBE" w:rsidRPr="00AE27EF" w:rsidRDefault="00C05DBE" w:rsidP="00C05DBE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 xml:space="preserve">Każdorazowo przegląd danego urządzenia potwierdzony </w:t>
      </w:r>
      <w:r w:rsidR="00F07C97">
        <w:rPr>
          <w:rFonts w:asciiTheme="minorHAnsi" w:hAnsiTheme="minorHAnsi" w:cstheme="minorHAnsi"/>
          <w:sz w:val="22"/>
        </w:rPr>
        <w:t xml:space="preserve">raportem serwisowym </w:t>
      </w:r>
      <w:r w:rsidRPr="00AE27EF">
        <w:rPr>
          <w:rFonts w:asciiTheme="minorHAnsi" w:hAnsiTheme="minorHAnsi" w:cstheme="minorHAnsi"/>
          <w:sz w:val="22"/>
        </w:rPr>
        <w:t xml:space="preserve"> </w:t>
      </w:r>
    </w:p>
    <w:p w14:paraId="437A0D2D" w14:textId="77777777" w:rsidR="00C05DBE" w:rsidRPr="00AE27EF" w:rsidRDefault="00C05DBE" w:rsidP="00C05DBE">
      <w:pPr>
        <w:ind w:left="561"/>
        <w:jc w:val="both"/>
        <w:rPr>
          <w:rFonts w:asciiTheme="minorHAnsi" w:hAnsiTheme="minorHAnsi" w:cstheme="minorHAnsi"/>
          <w:sz w:val="22"/>
        </w:rPr>
      </w:pPr>
    </w:p>
    <w:p w14:paraId="3C585AA1" w14:textId="77777777" w:rsidR="00C05DBE" w:rsidRPr="00AE27EF" w:rsidRDefault="00C05DBE" w:rsidP="00C05DBE">
      <w:pPr>
        <w:ind w:left="2149"/>
        <w:jc w:val="both"/>
        <w:rPr>
          <w:rFonts w:asciiTheme="minorHAnsi" w:hAnsiTheme="minorHAnsi" w:cstheme="minorHAnsi"/>
          <w:b/>
          <w:sz w:val="22"/>
        </w:rPr>
      </w:pPr>
    </w:p>
    <w:p w14:paraId="24999FD1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Naprawy </w:t>
      </w:r>
    </w:p>
    <w:p w14:paraId="3494D9C9" w14:textId="77777777" w:rsidR="00C05DBE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Porady telefoniczne</w:t>
      </w:r>
    </w:p>
    <w:p w14:paraId="4D73CB16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Usuwanie usterek do 48h od zgłoszenia</w:t>
      </w:r>
      <w:r w:rsidR="00947B83">
        <w:rPr>
          <w:rFonts w:asciiTheme="minorHAnsi" w:hAnsiTheme="minorHAnsi" w:cstheme="minorHAnsi"/>
          <w:sz w:val="22"/>
        </w:rPr>
        <w:t xml:space="preserve"> (w dni robocze)</w:t>
      </w:r>
    </w:p>
    <w:p w14:paraId="6E42E760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Wykonanie napraw oraz dojazd wliczony w cenę </w:t>
      </w:r>
    </w:p>
    <w:p w14:paraId="17B34CA8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Sprzęt zastępczy na czas naprawy trwającej dłużej niż 72h</w:t>
      </w:r>
    </w:p>
    <w:p w14:paraId="54908965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w przypadku gd</w:t>
      </w:r>
      <w:r w:rsidRPr="00F07C97">
        <w:rPr>
          <w:rFonts w:asciiTheme="minorHAnsi" w:hAnsiTheme="minorHAnsi" w:cstheme="minorHAnsi"/>
          <w:sz w:val="22"/>
        </w:rPr>
        <w:t>y naprawa jest nieopłacalna lub niemożliwa nastąpi wymiana urządzenia (zleceniobiorca przedstawi stosowne dokumenty przekazania urządzenia o tych samych parametrach, oraz wystawi stosowne orzeczenie techniczne dot. stanu technicznego urządzenia podlegającego wymianie</w:t>
      </w:r>
      <w:r>
        <w:rPr>
          <w:rFonts w:asciiTheme="minorHAnsi" w:hAnsiTheme="minorHAnsi" w:cstheme="minorHAnsi"/>
          <w:sz w:val="22"/>
        </w:rPr>
        <w:t>)</w:t>
      </w:r>
    </w:p>
    <w:p w14:paraId="47F3C2A7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F07C97">
        <w:rPr>
          <w:rFonts w:asciiTheme="minorHAnsi" w:hAnsiTheme="minorHAnsi" w:cstheme="minorHAnsi"/>
          <w:sz w:val="22"/>
        </w:rPr>
        <w:t>pomoc zdalna przez usługę LiveConnect (jeśli jest dostępna)</w:t>
      </w:r>
    </w:p>
    <w:p w14:paraId="6D7F6E23" w14:textId="77777777" w:rsidR="00F07C97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F07C97">
        <w:rPr>
          <w:rFonts w:asciiTheme="minorHAnsi" w:hAnsiTheme="minorHAnsi" w:cstheme="minorHAnsi"/>
          <w:sz w:val="22"/>
        </w:rPr>
        <w:t>aktualizacja oprogramowania</w:t>
      </w:r>
    </w:p>
    <w:p w14:paraId="4CB11D04" w14:textId="77777777" w:rsidR="00F07C97" w:rsidRPr="00AE27EF" w:rsidRDefault="00F07C97" w:rsidP="00C05DBE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</w:rPr>
      </w:pPr>
      <w:r w:rsidRPr="00F07C97">
        <w:rPr>
          <w:rFonts w:asciiTheme="minorHAnsi" w:hAnsiTheme="minorHAnsi" w:cstheme="minorHAnsi"/>
          <w:sz w:val="22"/>
        </w:rPr>
        <w:t>raz w roku wykonawca przeprowadzi szkolenie kliniczne dla użytkowników w zakresie interpretacji wyników (na wniosek Zamawiającego we</w:t>
      </w:r>
      <w:r w:rsidR="00947B83">
        <w:rPr>
          <w:rFonts w:asciiTheme="minorHAnsi" w:hAnsiTheme="minorHAnsi" w:cstheme="minorHAnsi"/>
          <w:sz w:val="22"/>
        </w:rPr>
        <w:t xml:space="preserve"> wcześn</w:t>
      </w:r>
      <w:r w:rsidRPr="00F07C97">
        <w:rPr>
          <w:rFonts w:asciiTheme="minorHAnsi" w:hAnsiTheme="minorHAnsi" w:cstheme="minorHAnsi"/>
          <w:sz w:val="22"/>
        </w:rPr>
        <w:t>iej ustalonym terminie)</w:t>
      </w:r>
    </w:p>
    <w:p w14:paraId="41B2F64C" w14:textId="77777777" w:rsidR="00C05DBE" w:rsidRPr="00AE27EF" w:rsidRDefault="00C05DBE" w:rsidP="00C05DBE">
      <w:pPr>
        <w:jc w:val="both"/>
        <w:rPr>
          <w:rFonts w:asciiTheme="minorHAnsi" w:hAnsiTheme="minorHAnsi" w:cstheme="minorHAnsi"/>
          <w:sz w:val="22"/>
        </w:rPr>
      </w:pPr>
    </w:p>
    <w:p w14:paraId="099FA545" w14:textId="77777777" w:rsidR="00C05DBE" w:rsidRPr="00AE27EF" w:rsidRDefault="00C05DBE" w:rsidP="00C05DBE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b/>
          <w:sz w:val="22"/>
        </w:rPr>
      </w:pPr>
      <w:r w:rsidRPr="00AE27EF">
        <w:rPr>
          <w:rFonts w:asciiTheme="minorHAnsi" w:hAnsiTheme="minorHAnsi" w:cstheme="minorHAnsi"/>
          <w:b/>
          <w:sz w:val="22"/>
        </w:rPr>
        <w:t xml:space="preserve">Części zamienne </w:t>
      </w:r>
    </w:p>
    <w:p w14:paraId="4C93EB82" w14:textId="77777777" w:rsidR="00C05DBE" w:rsidRPr="00AE27EF" w:rsidRDefault="00C05DBE" w:rsidP="00C05DBE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</w:t>
      </w:r>
      <w:r w:rsidR="00AE27EF" w:rsidRPr="00AE27EF">
        <w:rPr>
          <w:rFonts w:asciiTheme="minorHAnsi" w:hAnsiTheme="minorHAnsi" w:cstheme="minorHAnsi"/>
          <w:sz w:val="22"/>
        </w:rPr>
        <w:t>stawy oryginalnych</w:t>
      </w:r>
      <w:r w:rsidR="00F07C97">
        <w:rPr>
          <w:rFonts w:asciiTheme="minorHAnsi" w:hAnsiTheme="minorHAnsi" w:cstheme="minorHAnsi"/>
          <w:sz w:val="22"/>
        </w:rPr>
        <w:t xml:space="preserve"> </w:t>
      </w:r>
      <w:r w:rsidRPr="00AE27EF">
        <w:rPr>
          <w:rFonts w:asciiTheme="minorHAnsi" w:hAnsiTheme="minorHAnsi" w:cstheme="minorHAnsi"/>
          <w:sz w:val="22"/>
        </w:rPr>
        <w:t xml:space="preserve">części zamiennych </w:t>
      </w:r>
    </w:p>
    <w:p w14:paraId="61BEB0D8" w14:textId="77777777" w:rsidR="00C05DBE" w:rsidRDefault="00C05DBE" w:rsidP="00C05DBE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</w:rPr>
      </w:pPr>
      <w:r w:rsidRPr="00AE27EF">
        <w:rPr>
          <w:rFonts w:asciiTheme="minorHAnsi" w:hAnsiTheme="minorHAnsi" w:cstheme="minorHAnsi"/>
          <w:sz w:val="22"/>
        </w:rPr>
        <w:t>Dostawy materiałów niezbędnyc</w:t>
      </w:r>
      <w:r w:rsidR="00F07C97">
        <w:rPr>
          <w:rFonts w:asciiTheme="minorHAnsi" w:hAnsiTheme="minorHAnsi" w:cstheme="minorHAnsi"/>
          <w:sz w:val="22"/>
        </w:rPr>
        <w:t>h do przeprowadzenia przeglądów</w:t>
      </w:r>
    </w:p>
    <w:p w14:paraId="6B932768" w14:textId="77777777" w:rsidR="00C05DBE" w:rsidRPr="00AE27EF" w:rsidRDefault="00C05DBE" w:rsidP="00C05DBE">
      <w:pPr>
        <w:jc w:val="both"/>
        <w:rPr>
          <w:rFonts w:asciiTheme="minorHAnsi" w:hAnsiTheme="minorHAnsi" w:cstheme="minorHAnsi"/>
          <w:sz w:val="22"/>
        </w:rPr>
      </w:pPr>
    </w:p>
    <w:p w14:paraId="075BB1ED" w14:textId="77777777" w:rsidR="00C05DBE" w:rsidRPr="00AE27EF" w:rsidRDefault="00C05DBE" w:rsidP="00C05DBE">
      <w:pPr>
        <w:ind w:left="720"/>
        <w:jc w:val="both"/>
        <w:rPr>
          <w:rFonts w:asciiTheme="minorHAnsi" w:hAnsiTheme="minorHAnsi" w:cstheme="minorHAnsi"/>
          <w:sz w:val="22"/>
        </w:rPr>
      </w:pPr>
    </w:p>
    <w:p w14:paraId="63C58F5C" w14:textId="77777777" w:rsidR="00C05DBE" w:rsidRPr="00F07C97" w:rsidRDefault="00C05DBE" w:rsidP="00F07C97">
      <w:pPr>
        <w:pStyle w:val="Akapitzlist"/>
        <w:jc w:val="both"/>
        <w:rPr>
          <w:rFonts w:asciiTheme="minorHAnsi" w:hAnsiTheme="minorHAnsi" w:cstheme="minorHAnsi"/>
          <w:b/>
          <w:sz w:val="22"/>
        </w:rPr>
      </w:pPr>
    </w:p>
    <w:p w14:paraId="2D19BA74" w14:textId="77777777" w:rsidR="00454D8D" w:rsidRPr="00EB3DC8" w:rsidRDefault="00454D8D">
      <w:pPr>
        <w:rPr>
          <w:rFonts w:asciiTheme="minorHAnsi" w:hAnsiTheme="minorHAnsi" w:cstheme="minorHAnsi"/>
        </w:rPr>
      </w:pPr>
    </w:p>
    <w:sectPr w:rsidR="00454D8D" w:rsidRPr="00EB3DC8" w:rsidSect="006307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32822" w14:textId="77777777" w:rsidR="0063079E" w:rsidRDefault="0063079E" w:rsidP="00AE27EF">
      <w:r>
        <w:separator/>
      </w:r>
    </w:p>
  </w:endnote>
  <w:endnote w:type="continuationSeparator" w:id="0">
    <w:p w14:paraId="7359160A" w14:textId="77777777" w:rsidR="0063079E" w:rsidRDefault="0063079E" w:rsidP="00AE2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D448" w14:textId="77777777" w:rsidR="00FE31AD" w:rsidRDefault="00FE31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FF95" w14:textId="46850770" w:rsidR="00AE27EF" w:rsidRPr="00AE27EF" w:rsidRDefault="00AE27EF">
    <w:pPr>
      <w:pStyle w:val="Stopka"/>
      <w:rPr>
        <w:sz w:val="20"/>
      </w:rPr>
    </w:pPr>
  </w:p>
  <w:p w14:paraId="5495C3A1" w14:textId="77777777" w:rsidR="00AE27EF" w:rsidRDefault="00AE27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9E1FE" w14:textId="77777777" w:rsidR="00FE31AD" w:rsidRDefault="00FE31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15111" w14:textId="77777777" w:rsidR="0063079E" w:rsidRDefault="0063079E" w:rsidP="00AE27EF">
      <w:r>
        <w:separator/>
      </w:r>
    </w:p>
  </w:footnote>
  <w:footnote w:type="continuationSeparator" w:id="0">
    <w:p w14:paraId="507920B9" w14:textId="77777777" w:rsidR="0063079E" w:rsidRDefault="0063079E" w:rsidP="00AE2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1EBFD" w14:textId="77777777" w:rsidR="00FE31AD" w:rsidRDefault="00FE31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D077" w14:textId="55D79151" w:rsidR="00AE27EF" w:rsidRDefault="00AE27EF">
    <w:pPr>
      <w:pStyle w:val="Nagwek"/>
    </w:pPr>
    <w:r>
      <w:ptab w:relativeTo="margin" w:alignment="center" w:leader="none"/>
    </w:r>
    <w:r>
      <w:ptab w:relativeTo="margin" w:alignment="right" w:leader="none"/>
    </w:r>
    <w:r w:rsidR="00B37890">
      <w:t xml:space="preserve">Załącznik nr </w:t>
    </w:r>
    <w:r w:rsidR="00FE31AD">
      <w:t xml:space="preserve">12 do </w:t>
    </w:r>
    <w:r w:rsidR="00FE31AD">
      <w:t>SWZ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F085" w14:textId="77777777" w:rsidR="00FE31AD" w:rsidRDefault="00FE31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DF8"/>
    <w:multiLevelType w:val="hybridMultilevel"/>
    <w:tmpl w:val="E5AA618C"/>
    <w:lvl w:ilvl="0" w:tplc="4466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7143BD"/>
    <w:multiLevelType w:val="hybridMultilevel"/>
    <w:tmpl w:val="92C8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 w15:restartNumberingAfterBreak="0">
    <w:nsid w:val="45EA5424"/>
    <w:multiLevelType w:val="hybridMultilevel"/>
    <w:tmpl w:val="1DD83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80364">
    <w:abstractNumId w:val="3"/>
  </w:num>
  <w:num w:numId="2" w16cid:durableId="1320232961">
    <w:abstractNumId w:val="5"/>
  </w:num>
  <w:num w:numId="3" w16cid:durableId="984511309">
    <w:abstractNumId w:val="6"/>
  </w:num>
  <w:num w:numId="4" w16cid:durableId="769005001">
    <w:abstractNumId w:val="7"/>
  </w:num>
  <w:num w:numId="5" w16cid:durableId="810515574">
    <w:abstractNumId w:val="2"/>
  </w:num>
  <w:num w:numId="6" w16cid:durableId="609315597">
    <w:abstractNumId w:val="8"/>
  </w:num>
  <w:num w:numId="7" w16cid:durableId="2109696603">
    <w:abstractNumId w:val="9"/>
  </w:num>
  <w:num w:numId="8" w16cid:durableId="1333414800">
    <w:abstractNumId w:val="4"/>
  </w:num>
  <w:num w:numId="9" w16cid:durableId="1112480479">
    <w:abstractNumId w:val="0"/>
  </w:num>
  <w:num w:numId="10" w16cid:durableId="1580018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BE"/>
    <w:rsid w:val="00002BB7"/>
    <w:rsid w:val="001129E3"/>
    <w:rsid w:val="00160F16"/>
    <w:rsid w:val="001E39F8"/>
    <w:rsid w:val="00412E48"/>
    <w:rsid w:val="00454D8D"/>
    <w:rsid w:val="0048655C"/>
    <w:rsid w:val="00590BE3"/>
    <w:rsid w:val="0063079E"/>
    <w:rsid w:val="007420A7"/>
    <w:rsid w:val="00947B83"/>
    <w:rsid w:val="00A77C77"/>
    <w:rsid w:val="00AB33AA"/>
    <w:rsid w:val="00AE27EF"/>
    <w:rsid w:val="00B37890"/>
    <w:rsid w:val="00C05DBE"/>
    <w:rsid w:val="00EB3DC8"/>
    <w:rsid w:val="00F07C97"/>
    <w:rsid w:val="00F209E8"/>
    <w:rsid w:val="00FE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F1A3"/>
  <w15:docId w15:val="{8452FEF3-7AD9-4DB2-9FFD-67238E7A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D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7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EF"/>
    <w:rPr>
      <w:rFonts w:ascii="Tahoma" w:eastAsia="Times New Roman" w:hAnsi="Tahoma" w:cs="Tahoma"/>
      <w:kern w:val="0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E2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Piekarczyk, Agnieszka</dc:creator>
  <cp:lastModifiedBy>10 wsk</cp:lastModifiedBy>
  <cp:revision>2</cp:revision>
  <cp:lastPrinted>2024-03-18T10:18:00Z</cp:lastPrinted>
  <dcterms:created xsi:type="dcterms:W3CDTF">2024-04-19T06:42:00Z</dcterms:created>
  <dcterms:modified xsi:type="dcterms:W3CDTF">2024-04-19T06:42:00Z</dcterms:modified>
</cp:coreProperties>
</file>