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F3215" w14:textId="6CF03A3F" w:rsidR="006A5DF1" w:rsidRPr="002E2BB1" w:rsidRDefault="00AE1413" w:rsidP="006A5DF1">
      <w:pPr>
        <w:spacing w:after="240"/>
        <w:jc w:val="right"/>
        <w:rPr>
          <w:sz w:val="24"/>
          <w:szCs w:val="24"/>
        </w:rPr>
      </w:pPr>
      <w:r w:rsidRPr="002E2BB1">
        <w:rPr>
          <w:sz w:val="24"/>
          <w:szCs w:val="24"/>
        </w:rPr>
        <w:t>Kraków</w:t>
      </w:r>
      <w:r w:rsidR="006A5DF1" w:rsidRPr="002E2BB1">
        <w:rPr>
          <w:sz w:val="24"/>
          <w:szCs w:val="24"/>
        </w:rPr>
        <w:t xml:space="preserve"> dnia: </w:t>
      </w:r>
      <w:r w:rsidRPr="002E2BB1">
        <w:rPr>
          <w:sz w:val="24"/>
          <w:szCs w:val="24"/>
        </w:rPr>
        <w:t>2024-03-</w:t>
      </w:r>
      <w:r w:rsidR="002E2BB1">
        <w:rPr>
          <w:sz w:val="24"/>
          <w:szCs w:val="24"/>
        </w:rPr>
        <w:t>20</w:t>
      </w:r>
    </w:p>
    <w:p w14:paraId="23714259" w14:textId="77777777" w:rsidR="0029606A" w:rsidRPr="002E2BB1" w:rsidRDefault="0029606A" w:rsidP="006A5DF1">
      <w:pPr>
        <w:spacing w:after="240"/>
        <w:jc w:val="right"/>
        <w:rPr>
          <w:sz w:val="24"/>
          <w:szCs w:val="24"/>
        </w:rPr>
      </w:pPr>
    </w:p>
    <w:p w14:paraId="4B0B0754" w14:textId="77777777" w:rsidR="006A5DF1" w:rsidRPr="002E2BB1" w:rsidRDefault="00BE62A3" w:rsidP="006A5DF1">
      <w:pPr>
        <w:rPr>
          <w:b/>
          <w:bCs/>
          <w:sz w:val="24"/>
          <w:szCs w:val="24"/>
        </w:rPr>
      </w:pPr>
      <w:r w:rsidRPr="002E2BB1">
        <w:rPr>
          <w:b/>
          <w:bCs/>
          <w:sz w:val="24"/>
          <w:szCs w:val="24"/>
        </w:rPr>
        <w:t xml:space="preserve">Szpital Miejski Specjalistyczny </w:t>
      </w:r>
    </w:p>
    <w:p w14:paraId="012507CC" w14:textId="77777777" w:rsidR="00BE62A3" w:rsidRPr="002E2BB1" w:rsidRDefault="00BE62A3" w:rsidP="006A5DF1">
      <w:pPr>
        <w:rPr>
          <w:sz w:val="24"/>
          <w:szCs w:val="24"/>
        </w:rPr>
      </w:pPr>
      <w:r w:rsidRPr="002E2BB1">
        <w:rPr>
          <w:b/>
          <w:bCs/>
          <w:sz w:val="24"/>
          <w:szCs w:val="24"/>
        </w:rPr>
        <w:t>im. Gabriela Narutowicza w Krakowie</w:t>
      </w:r>
    </w:p>
    <w:p w14:paraId="04A8CE44" w14:textId="77777777" w:rsidR="006A5DF1" w:rsidRPr="002E2BB1" w:rsidRDefault="00BE62A3" w:rsidP="006A5DF1">
      <w:pPr>
        <w:pStyle w:val="Nagwek"/>
        <w:tabs>
          <w:tab w:val="clear" w:pos="4536"/>
          <w:tab w:val="clear" w:pos="9072"/>
        </w:tabs>
        <w:rPr>
          <w:sz w:val="24"/>
          <w:szCs w:val="24"/>
        </w:rPr>
      </w:pPr>
      <w:r w:rsidRPr="002E2BB1">
        <w:rPr>
          <w:sz w:val="24"/>
          <w:szCs w:val="24"/>
        </w:rPr>
        <w:t>ul. Prądnicka 35-37</w:t>
      </w:r>
    </w:p>
    <w:p w14:paraId="5AFDC02C" w14:textId="77777777" w:rsidR="00BE62A3" w:rsidRPr="002E2BB1" w:rsidRDefault="00BE62A3" w:rsidP="006A5DF1">
      <w:pPr>
        <w:pStyle w:val="Nagwek"/>
        <w:tabs>
          <w:tab w:val="clear" w:pos="4536"/>
          <w:tab w:val="clear" w:pos="9072"/>
        </w:tabs>
        <w:rPr>
          <w:sz w:val="24"/>
          <w:szCs w:val="24"/>
        </w:rPr>
      </w:pPr>
      <w:r w:rsidRPr="002E2BB1">
        <w:rPr>
          <w:sz w:val="24"/>
          <w:szCs w:val="24"/>
        </w:rPr>
        <w:t>31-202 Kraków</w:t>
      </w:r>
    </w:p>
    <w:p w14:paraId="151EA05B" w14:textId="1E2E9D9B" w:rsidR="006D4AB3" w:rsidRPr="002E2BB1" w:rsidRDefault="006A5DF1" w:rsidP="002E2BB1">
      <w:pPr>
        <w:pStyle w:val="Nagwek"/>
        <w:tabs>
          <w:tab w:val="clear" w:pos="4536"/>
        </w:tabs>
        <w:rPr>
          <w:sz w:val="22"/>
          <w:szCs w:val="22"/>
        </w:rPr>
      </w:pPr>
      <w:r w:rsidRPr="002E2BB1">
        <w:rPr>
          <w:sz w:val="24"/>
          <w:szCs w:val="24"/>
        </w:rPr>
        <w:tab/>
      </w:r>
    </w:p>
    <w:p w14:paraId="52FA8FA2" w14:textId="77777777" w:rsidR="006D4AB3" w:rsidRPr="002E2BB1" w:rsidRDefault="006D4AB3">
      <w:pPr>
        <w:pStyle w:val="Nagwek"/>
        <w:tabs>
          <w:tab w:val="clear" w:pos="4536"/>
          <w:tab w:val="clear" w:pos="9072"/>
        </w:tabs>
        <w:rPr>
          <w:sz w:val="22"/>
          <w:szCs w:val="22"/>
        </w:rPr>
      </w:pPr>
    </w:p>
    <w:p w14:paraId="71652C1D" w14:textId="291FBF0E" w:rsidR="00632C3C" w:rsidRPr="002E2BB1" w:rsidRDefault="008C284A" w:rsidP="008C284A">
      <w:pPr>
        <w:pStyle w:val="Nagwek1"/>
        <w:spacing w:after="480" w:line="276" w:lineRule="auto"/>
        <w:jc w:val="center"/>
        <w:rPr>
          <w:rFonts w:ascii="Times New Roman" w:hAnsi="Times New Roman"/>
          <w:szCs w:val="28"/>
        </w:rPr>
      </w:pPr>
      <w:r>
        <w:rPr>
          <w:rFonts w:ascii="Times New Roman" w:hAnsi="Times New Roman"/>
          <w:szCs w:val="28"/>
        </w:rPr>
        <w:t>SPROSTOWANIE</w:t>
      </w:r>
      <w:r>
        <w:rPr>
          <w:rFonts w:ascii="Times New Roman" w:hAnsi="Times New Roman"/>
          <w:szCs w:val="28"/>
        </w:rPr>
        <w:br/>
      </w:r>
      <w:r w:rsidR="00E21B49" w:rsidRPr="002E2BB1">
        <w:rPr>
          <w:rFonts w:ascii="Times New Roman" w:hAnsi="Times New Roman"/>
          <w:szCs w:val="28"/>
        </w:rPr>
        <w:t>WYJAŚNIENI</w:t>
      </w:r>
      <w:r w:rsidR="00520165" w:rsidRPr="002E2BB1">
        <w:rPr>
          <w:rFonts w:ascii="Times New Roman" w:hAnsi="Times New Roman"/>
          <w:szCs w:val="28"/>
        </w:rPr>
        <w:t>A</w:t>
      </w:r>
      <w:r w:rsidR="00632C3C" w:rsidRPr="002E2BB1">
        <w:rPr>
          <w:rFonts w:ascii="Times New Roman" w:hAnsi="Times New Roman"/>
          <w:szCs w:val="28"/>
        </w:rPr>
        <w:t xml:space="preserve"> TREŚCI</w:t>
      </w:r>
      <w:r w:rsidR="0029606A" w:rsidRPr="002E2BB1">
        <w:rPr>
          <w:rFonts w:ascii="Times New Roman" w:hAnsi="Times New Roman"/>
          <w:szCs w:val="28"/>
        </w:rPr>
        <w:t xml:space="preserve"> SWZ</w:t>
      </w:r>
      <w:r w:rsidR="002E2BB1">
        <w:rPr>
          <w:rFonts w:ascii="Times New Roman" w:hAnsi="Times New Roman"/>
          <w:szCs w:val="28"/>
        </w:rPr>
        <w:t xml:space="preserve"> - 5</w:t>
      </w:r>
    </w:p>
    <w:p w14:paraId="515A54D0" w14:textId="4BE27BD6" w:rsidR="006D4AB3" w:rsidRPr="002E2BB1" w:rsidRDefault="00632C3C" w:rsidP="00520165">
      <w:pPr>
        <w:spacing w:after="360" w:line="276" w:lineRule="auto"/>
        <w:jc w:val="both"/>
        <w:rPr>
          <w:sz w:val="24"/>
          <w:szCs w:val="24"/>
        </w:rPr>
      </w:pPr>
      <w:r w:rsidRPr="002E2BB1">
        <w:rPr>
          <w:sz w:val="24"/>
          <w:szCs w:val="24"/>
        </w:rPr>
        <w:t xml:space="preserve">Dotyczy: </w:t>
      </w:r>
      <w:r w:rsidR="006A5DF1" w:rsidRPr="002E2BB1">
        <w:rPr>
          <w:sz w:val="24"/>
          <w:szCs w:val="24"/>
        </w:rPr>
        <w:t>p</w:t>
      </w:r>
      <w:r w:rsidRPr="002E2BB1">
        <w:rPr>
          <w:sz w:val="24"/>
          <w:szCs w:val="24"/>
        </w:rPr>
        <w:t>ostępowani</w:t>
      </w:r>
      <w:r w:rsidR="006A5DF1" w:rsidRPr="002E2BB1">
        <w:rPr>
          <w:sz w:val="24"/>
          <w:szCs w:val="24"/>
        </w:rPr>
        <w:t>a</w:t>
      </w:r>
      <w:r w:rsidRPr="002E2BB1">
        <w:rPr>
          <w:sz w:val="24"/>
          <w:szCs w:val="24"/>
        </w:rPr>
        <w:t xml:space="preserve"> o udzielenie zamówienia publicznego, prowadzone</w:t>
      </w:r>
      <w:r w:rsidR="006A5DF1" w:rsidRPr="002E2BB1">
        <w:rPr>
          <w:sz w:val="24"/>
          <w:szCs w:val="24"/>
        </w:rPr>
        <w:t>go</w:t>
      </w:r>
      <w:r w:rsidR="002E2BB1">
        <w:rPr>
          <w:sz w:val="24"/>
          <w:szCs w:val="24"/>
        </w:rPr>
        <w:t xml:space="preserve"> </w:t>
      </w:r>
      <w:r w:rsidRPr="002E2BB1">
        <w:rPr>
          <w:sz w:val="24"/>
          <w:szCs w:val="24"/>
        </w:rPr>
        <w:t>w</w:t>
      </w:r>
      <w:r w:rsidR="00BE62A3" w:rsidRPr="002E2BB1">
        <w:rPr>
          <w:sz w:val="24"/>
          <w:szCs w:val="24"/>
        </w:rPr>
        <w:t> </w:t>
      </w:r>
      <w:r w:rsidRPr="002E2BB1">
        <w:rPr>
          <w:sz w:val="24"/>
          <w:szCs w:val="24"/>
        </w:rPr>
        <w:t xml:space="preserve">trybie </w:t>
      </w:r>
      <w:r w:rsidR="00AE1413" w:rsidRPr="002E2BB1">
        <w:rPr>
          <w:sz w:val="24"/>
          <w:szCs w:val="24"/>
        </w:rPr>
        <w:t>przetarg</w:t>
      </w:r>
      <w:r w:rsidR="002E2BB1">
        <w:rPr>
          <w:sz w:val="24"/>
          <w:szCs w:val="24"/>
        </w:rPr>
        <w:t>u</w:t>
      </w:r>
      <w:r w:rsidR="00AE1413" w:rsidRPr="002E2BB1">
        <w:rPr>
          <w:sz w:val="24"/>
          <w:szCs w:val="24"/>
        </w:rPr>
        <w:t xml:space="preserve"> nieograniczon</w:t>
      </w:r>
      <w:r w:rsidR="002E2BB1">
        <w:rPr>
          <w:sz w:val="24"/>
          <w:szCs w:val="24"/>
        </w:rPr>
        <w:t>ego</w:t>
      </w:r>
      <w:r w:rsidRPr="002E2BB1">
        <w:rPr>
          <w:b/>
          <w:sz w:val="24"/>
          <w:szCs w:val="24"/>
        </w:rPr>
        <w:t xml:space="preserve"> </w:t>
      </w:r>
      <w:r w:rsidRPr="002E2BB1">
        <w:rPr>
          <w:bCs/>
          <w:sz w:val="24"/>
          <w:szCs w:val="24"/>
        </w:rPr>
        <w:t>na</w:t>
      </w:r>
      <w:r w:rsidRPr="002E2BB1">
        <w:rPr>
          <w:b/>
          <w:sz w:val="24"/>
          <w:szCs w:val="24"/>
        </w:rPr>
        <w:t xml:space="preserve"> </w:t>
      </w:r>
      <w:r w:rsidR="00E72428" w:rsidRPr="002E2BB1">
        <w:rPr>
          <w:bCs/>
          <w:sz w:val="24"/>
          <w:szCs w:val="24"/>
        </w:rPr>
        <w:t>”</w:t>
      </w:r>
      <w:r w:rsidR="00AE1413" w:rsidRPr="002E2BB1">
        <w:rPr>
          <w:b/>
          <w:bCs/>
          <w:sz w:val="24"/>
          <w:szCs w:val="24"/>
        </w:rPr>
        <w:t>Zakup i dostawa produktów farmaceutycznych I</w:t>
      </w:r>
      <w:r w:rsidR="00E72428" w:rsidRPr="002E2BB1">
        <w:rPr>
          <w:bCs/>
          <w:sz w:val="24"/>
          <w:szCs w:val="24"/>
        </w:rPr>
        <w:t>”</w:t>
      </w:r>
      <w:r w:rsidRPr="002E2BB1">
        <w:rPr>
          <w:b/>
          <w:sz w:val="24"/>
          <w:szCs w:val="24"/>
        </w:rPr>
        <w:t xml:space="preserve"> </w:t>
      </w:r>
      <w:r w:rsidRPr="002E2BB1">
        <w:rPr>
          <w:bCs/>
          <w:sz w:val="24"/>
          <w:szCs w:val="24"/>
        </w:rPr>
        <w:t>– znak sprawy</w:t>
      </w:r>
      <w:r w:rsidRPr="002E2BB1">
        <w:rPr>
          <w:b/>
          <w:sz w:val="24"/>
          <w:szCs w:val="24"/>
        </w:rPr>
        <w:t xml:space="preserve"> </w:t>
      </w:r>
      <w:r w:rsidR="00AE1413" w:rsidRPr="002E2BB1">
        <w:rPr>
          <w:b/>
          <w:sz w:val="24"/>
          <w:szCs w:val="24"/>
        </w:rPr>
        <w:t>ZP/10/2024</w:t>
      </w:r>
      <w:r w:rsidRPr="002E2BB1">
        <w:rPr>
          <w:b/>
          <w:sz w:val="24"/>
          <w:szCs w:val="24"/>
        </w:rPr>
        <w:t>.</w:t>
      </w:r>
    </w:p>
    <w:p w14:paraId="11748835" w14:textId="77777777" w:rsidR="0012774F" w:rsidRPr="002E2BB1" w:rsidRDefault="00520165" w:rsidP="00D8461B">
      <w:pPr>
        <w:spacing w:after="240" w:line="276" w:lineRule="auto"/>
        <w:jc w:val="both"/>
        <w:rPr>
          <w:sz w:val="22"/>
          <w:szCs w:val="22"/>
        </w:rPr>
      </w:pPr>
      <w:r w:rsidRPr="002E2BB1">
        <w:rPr>
          <w:sz w:val="24"/>
          <w:szCs w:val="24"/>
        </w:rPr>
        <w:t xml:space="preserve">Zamawiający, działając na podstawie art. </w:t>
      </w:r>
      <w:r w:rsidR="0029606A" w:rsidRPr="002E2BB1">
        <w:rPr>
          <w:sz w:val="24"/>
          <w:szCs w:val="24"/>
        </w:rPr>
        <w:t>1</w:t>
      </w:r>
      <w:r w:rsidRPr="002E2BB1">
        <w:rPr>
          <w:sz w:val="24"/>
          <w:szCs w:val="24"/>
        </w:rPr>
        <w:t>3</w:t>
      </w:r>
      <w:r w:rsidR="0029606A" w:rsidRPr="002E2BB1">
        <w:rPr>
          <w:sz w:val="24"/>
          <w:szCs w:val="24"/>
        </w:rPr>
        <w:t>5</w:t>
      </w:r>
      <w:r w:rsidRPr="002E2BB1">
        <w:rPr>
          <w:sz w:val="24"/>
          <w:szCs w:val="24"/>
        </w:rPr>
        <w:t xml:space="preserve"> ust</w:t>
      </w:r>
      <w:r w:rsidR="00D9049C" w:rsidRPr="002E2BB1">
        <w:rPr>
          <w:sz w:val="24"/>
          <w:szCs w:val="24"/>
        </w:rPr>
        <w:t xml:space="preserve">. </w:t>
      </w:r>
      <w:r w:rsidR="0029606A" w:rsidRPr="002E2BB1">
        <w:rPr>
          <w:sz w:val="24"/>
          <w:szCs w:val="24"/>
        </w:rPr>
        <w:t>6</w:t>
      </w:r>
      <w:r w:rsidRPr="002E2BB1">
        <w:rPr>
          <w:sz w:val="24"/>
          <w:szCs w:val="24"/>
        </w:rPr>
        <w:t xml:space="preserve"> ustawy z dnia </w:t>
      </w:r>
      <w:r w:rsidR="0029606A" w:rsidRPr="002E2BB1">
        <w:rPr>
          <w:sz w:val="24"/>
          <w:szCs w:val="24"/>
        </w:rPr>
        <w:t>11</w:t>
      </w:r>
      <w:r w:rsidRPr="002E2BB1">
        <w:rPr>
          <w:sz w:val="24"/>
          <w:szCs w:val="24"/>
        </w:rPr>
        <w:t xml:space="preserve"> </w:t>
      </w:r>
      <w:r w:rsidR="0029606A" w:rsidRPr="002E2BB1">
        <w:rPr>
          <w:sz w:val="24"/>
          <w:szCs w:val="24"/>
        </w:rPr>
        <w:t xml:space="preserve">września </w:t>
      </w:r>
      <w:r w:rsidRPr="002E2BB1">
        <w:rPr>
          <w:sz w:val="24"/>
          <w:szCs w:val="24"/>
        </w:rPr>
        <w:t>20</w:t>
      </w:r>
      <w:r w:rsidR="0029606A" w:rsidRPr="002E2BB1">
        <w:rPr>
          <w:sz w:val="24"/>
          <w:szCs w:val="24"/>
        </w:rPr>
        <w:t>19</w:t>
      </w:r>
      <w:r w:rsidR="00BE62A3" w:rsidRPr="002E2BB1">
        <w:rPr>
          <w:sz w:val="24"/>
          <w:szCs w:val="24"/>
        </w:rPr>
        <w:t> </w:t>
      </w:r>
      <w:r w:rsidRPr="002E2BB1">
        <w:rPr>
          <w:sz w:val="24"/>
          <w:szCs w:val="24"/>
        </w:rPr>
        <w:t>r</w:t>
      </w:r>
      <w:r w:rsidR="0029606A" w:rsidRPr="002E2BB1">
        <w:rPr>
          <w:sz w:val="24"/>
          <w:szCs w:val="24"/>
        </w:rPr>
        <w:t>.</w:t>
      </w:r>
      <w:r w:rsidRPr="002E2BB1">
        <w:rPr>
          <w:sz w:val="24"/>
          <w:szCs w:val="24"/>
        </w:rPr>
        <w:t xml:space="preserve"> Prawo </w:t>
      </w:r>
      <w:r w:rsidR="0029606A" w:rsidRPr="002E2BB1">
        <w:rPr>
          <w:sz w:val="24"/>
          <w:szCs w:val="24"/>
        </w:rPr>
        <w:t>z</w:t>
      </w:r>
      <w:r w:rsidRPr="002E2BB1">
        <w:rPr>
          <w:sz w:val="24"/>
          <w:szCs w:val="24"/>
        </w:rPr>
        <w:t xml:space="preserve">amówień </w:t>
      </w:r>
      <w:r w:rsidR="0029606A" w:rsidRPr="002E2BB1">
        <w:rPr>
          <w:sz w:val="24"/>
          <w:szCs w:val="24"/>
        </w:rPr>
        <w:t>p</w:t>
      </w:r>
      <w:r w:rsidRPr="002E2BB1">
        <w:rPr>
          <w:sz w:val="24"/>
          <w:szCs w:val="24"/>
        </w:rPr>
        <w:t>ublicznych</w:t>
      </w:r>
      <w:r w:rsidR="00BE7BFD" w:rsidRPr="002E2BB1">
        <w:rPr>
          <w:sz w:val="24"/>
          <w:szCs w:val="24"/>
        </w:rPr>
        <w:t xml:space="preserve"> </w:t>
      </w:r>
      <w:r w:rsidR="00D9049C" w:rsidRPr="002E2BB1">
        <w:rPr>
          <w:sz w:val="24"/>
          <w:szCs w:val="24"/>
        </w:rPr>
        <w:t>udostępnia</w:t>
      </w:r>
      <w:r w:rsidR="00BE7BFD" w:rsidRPr="002E2BB1">
        <w:rPr>
          <w:sz w:val="24"/>
          <w:szCs w:val="24"/>
        </w:rPr>
        <w:t xml:space="preserve"> poniżej treść zapytań do S</w:t>
      </w:r>
      <w:r w:rsidR="0012774F" w:rsidRPr="002E2BB1">
        <w:rPr>
          <w:sz w:val="24"/>
          <w:szCs w:val="24"/>
        </w:rPr>
        <w:t>pecyfikacji Warunków Zamówienia (</w:t>
      </w:r>
      <w:r w:rsidR="0012774F" w:rsidRPr="002E2BB1">
        <w:rPr>
          <w:sz w:val="24"/>
          <w:szCs w:val="24"/>
          <w:lang w:eastAsia="ar-SA"/>
        </w:rPr>
        <w:t>zwanej dalej</w:t>
      </w:r>
      <w:r w:rsidR="0012774F" w:rsidRPr="002E2BB1">
        <w:rPr>
          <w:b/>
          <w:sz w:val="24"/>
          <w:szCs w:val="24"/>
          <w:lang w:eastAsia="ar-SA"/>
        </w:rPr>
        <w:t xml:space="preserve"> </w:t>
      </w:r>
      <w:r w:rsidR="0012774F" w:rsidRPr="002E2BB1">
        <w:rPr>
          <w:bCs/>
          <w:sz w:val="24"/>
          <w:szCs w:val="24"/>
          <w:lang w:eastAsia="ar-SA"/>
        </w:rPr>
        <w:t>”SWZ”)</w:t>
      </w:r>
      <w:r w:rsidR="00D9049C" w:rsidRPr="002E2BB1">
        <w:rPr>
          <w:bCs/>
          <w:sz w:val="24"/>
          <w:szCs w:val="24"/>
          <w:lang w:eastAsia="ar-SA"/>
        </w:rPr>
        <w:t xml:space="preserve"> </w:t>
      </w:r>
      <w:r w:rsidR="00D9049C" w:rsidRPr="002E2BB1">
        <w:rPr>
          <w:sz w:val="24"/>
          <w:szCs w:val="24"/>
        </w:rPr>
        <w:t>wraz z wyjaśnieniami</w:t>
      </w:r>
      <w:r w:rsidR="0012774F" w:rsidRPr="002E2BB1">
        <w:rPr>
          <w:bCs/>
          <w:sz w:val="24"/>
          <w:szCs w:val="24"/>
          <w:lang w:eastAsia="ar-SA"/>
        </w:rPr>
        <w:t>:</w:t>
      </w:r>
    </w:p>
    <w:tbl>
      <w:tblPr>
        <w:tblW w:w="9356" w:type="dxa"/>
        <w:tblInd w:w="-34" w:type="dxa"/>
        <w:tblLook w:val="04A0" w:firstRow="1" w:lastRow="0" w:firstColumn="1" w:lastColumn="0" w:noHBand="0" w:noVBand="1"/>
      </w:tblPr>
      <w:tblGrid>
        <w:gridCol w:w="9356"/>
      </w:tblGrid>
      <w:tr w:rsidR="00AE1413" w:rsidRPr="002E2BB1" w14:paraId="1FC49EDC" w14:textId="77777777" w:rsidTr="00B359AB">
        <w:tc>
          <w:tcPr>
            <w:tcW w:w="9356" w:type="dxa"/>
            <w:shd w:val="clear" w:color="auto" w:fill="auto"/>
          </w:tcPr>
          <w:p w14:paraId="4E5E6C9B" w14:textId="55542C51" w:rsidR="008C284A" w:rsidRDefault="008C284A" w:rsidP="008C284A">
            <w:pPr>
              <w:spacing w:before="60" w:after="60"/>
              <w:ind w:left="30" w:right="-72"/>
              <w:rPr>
                <w:b/>
                <w:bCs/>
                <w:sz w:val="22"/>
                <w:szCs w:val="22"/>
              </w:rPr>
            </w:pPr>
            <w:r>
              <w:rPr>
                <w:b/>
                <w:bCs/>
                <w:sz w:val="22"/>
                <w:szCs w:val="22"/>
              </w:rPr>
              <w:t>W odpowiedzi na pytanie Zamawiający omyłkowo błędnie podał jednostkę miary wymaganego produktu. Poniżej Zamawiający prostuje omyłkę pisarsk</w:t>
            </w:r>
            <w:r w:rsidR="00997183">
              <w:rPr>
                <w:b/>
                <w:bCs/>
                <w:sz w:val="22"/>
                <w:szCs w:val="22"/>
              </w:rPr>
              <w:t>ą.</w:t>
            </w:r>
            <w:r>
              <w:rPr>
                <w:b/>
                <w:bCs/>
                <w:sz w:val="22"/>
                <w:szCs w:val="22"/>
              </w:rPr>
              <w:t xml:space="preserve"> </w:t>
            </w:r>
          </w:p>
          <w:p w14:paraId="6D87F063" w14:textId="2EDF7A2A" w:rsidR="008C284A" w:rsidRPr="008C284A" w:rsidRDefault="008C284A" w:rsidP="008C284A">
            <w:pPr>
              <w:spacing w:before="60" w:after="60"/>
              <w:ind w:left="30" w:right="-72"/>
              <w:rPr>
                <w:b/>
                <w:bCs/>
                <w:sz w:val="22"/>
                <w:szCs w:val="22"/>
              </w:rPr>
            </w:pPr>
            <w:r w:rsidRPr="008C284A">
              <w:rPr>
                <w:b/>
                <w:bCs/>
                <w:i/>
                <w:iCs/>
                <w:sz w:val="22"/>
                <w:szCs w:val="22"/>
              </w:rPr>
              <w:t>Nowy Zmodyfikowany Załącznik nr 1</w:t>
            </w:r>
            <w:r w:rsidRPr="008C284A">
              <w:rPr>
                <w:b/>
                <w:bCs/>
                <w:sz w:val="22"/>
                <w:szCs w:val="22"/>
              </w:rPr>
              <w:t xml:space="preserve"> Zamawiający zamieszcza na stronie internetowej prowadzonego postępowania </w:t>
            </w:r>
            <w:hyperlink r:id="rId7" w:history="1">
              <w:r w:rsidRPr="004D4934">
                <w:rPr>
                  <w:rStyle w:val="Hipercze"/>
                  <w:b/>
                  <w:bCs/>
                  <w:sz w:val="22"/>
                  <w:szCs w:val="22"/>
                </w:rPr>
                <w:t>http://e-propublico.pl</w:t>
              </w:r>
            </w:hyperlink>
            <w:r>
              <w:rPr>
                <w:b/>
                <w:bCs/>
                <w:sz w:val="22"/>
                <w:szCs w:val="22"/>
              </w:rPr>
              <w:t xml:space="preserve"> </w:t>
            </w:r>
            <w:r w:rsidRPr="008C284A">
              <w:rPr>
                <w:b/>
                <w:bCs/>
                <w:sz w:val="22"/>
                <w:szCs w:val="22"/>
              </w:rPr>
              <w:t xml:space="preserve">oraz na stronie </w:t>
            </w:r>
            <w:hyperlink r:id="rId8" w:history="1">
              <w:r w:rsidRPr="004D4934">
                <w:rPr>
                  <w:rStyle w:val="Hipercze"/>
                  <w:b/>
                  <w:bCs/>
                  <w:sz w:val="22"/>
                  <w:szCs w:val="22"/>
                </w:rPr>
                <w:t>http://narutowicz.krakow.pl</w:t>
              </w:r>
            </w:hyperlink>
            <w:r>
              <w:rPr>
                <w:b/>
                <w:bCs/>
                <w:sz w:val="22"/>
                <w:szCs w:val="22"/>
              </w:rPr>
              <w:t xml:space="preserve"> </w:t>
            </w:r>
          </w:p>
          <w:p w14:paraId="309F025B" w14:textId="64EDDFD9" w:rsidR="008C284A" w:rsidRDefault="008C284A" w:rsidP="008C284A">
            <w:pPr>
              <w:spacing w:before="60" w:after="60"/>
              <w:ind w:left="30" w:right="-72"/>
              <w:rPr>
                <w:b/>
                <w:bCs/>
                <w:sz w:val="22"/>
                <w:szCs w:val="22"/>
              </w:rPr>
            </w:pPr>
            <w:r>
              <w:rPr>
                <w:b/>
                <w:bCs/>
                <w:sz w:val="22"/>
                <w:szCs w:val="22"/>
              </w:rPr>
              <w:t>Zmiana</w:t>
            </w:r>
            <w:r w:rsidRPr="008C284A">
              <w:rPr>
                <w:b/>
                <w:bCs/>
                <w:sz w:val="22"/>
                <w:szCs w:val="22"/>
              </w:rPr>
              <w:t xml:space="preserve"> nie powoduje zmiany terminu składania i otwarcia ofert.</w:t>
            </w:r>
          </w:p>
          <w:p w14:paraId="7285DBD8" w14:textId="77777777" w:rsidR="008C284A" w:rsidRDefault="008C284A" w:rsidP="00B359AB">
            <w:pPr>
              <w:spacing w:before="60" w:after="60"/>
              <w:ind w:left="30" w:right="-72"/>
              <w:rPr>
                <w:b/>
                <w:bCs/>
                <w:sz w:val="22"/>
                <w:szCs w:val="22"/>
              </w:rPr>
            </w:pPr>
          </w:p>
          <w:p w14:paraId="3E9A0829" w14:textId="5F2A3D7D" w:rsidR="00AE1413" w:rsidRPr="002E2BB1" w:rsidRDefault="002E2BB1" w:rsidP="00B359AB">
            <w:pPr>
              <w:spacing w:before="60" w:after="60"/>
              <w:ind w:left="30" w:right="-72"/>
              <w:rPr>
                <w:b/>
                <w:bCs/>
                <w:sz w:val="22"/>
                <w:szCs w:val="22"/>
              </w:rPr>
            </w:pPr>
            <w:r>
              <w:rPr>
                <w:b/>
                <w:bCs/>
                <w:sz w:val="22"/>
                <w:szCs w:val="22"/>
              </w:rPr>
              <w:t>Pakiet 32</w:t>
            </w:r>
          </w:p>
          <w:p w14:paraId="3637DB7F" w14:textId="77777777" w:rsidR="00AE1413" w:rsidRPr="002E2BB1" w:rsidRDefault="00AE1413" w:rsidP="00B359AB">
            <w:pPr>
              <w:spacing w:after="120"/>
              <w:ind w:left="30" w:right="-72"/>
              <w:jc w:val="both"/>
              <w:rPr>
                <w:sz w:val="22"/>
                <w:szCs w:val="22"/>
              </w:rPr>
            </w:pPr>
            <w:r w:rsidRPr="002E2BB1">
              <w:rPr>
                <w:sz w:val="22"/>
                <w:szCs w:val="22"/>
              </w:rPr>
              <w:t xml:space="preserve">Czy Zamawiający dopuszcza zaoferowanie leku </w:t>
            </w:r>
            <w:proofErr w:type="spellStart"/>
            <w:r w:rsidRPr="002E2BB1">
              <w:rPr>
                <w:sz w:val="22"/>
                <w:szCs w:val="22"/>
              </w:rPr>
              <w:t>Onko</w:t>
            </w:r>
            <w:proofErr w:type="spellEnd"/>
            <w:r w:rsidRPr="002E2BB1">
              <w:rPr>
                <w:sz w:val="22"/>
                <w:szCs w:val="22"/>
              </w:rPr>
              <w:t xml:space="preserve"> BCG100 1 </w:t>
            </w:r>
            <w:proofErr w:type="spellStart"/>
            <w:r w:rsidRPr="002E2BB1">
              <w:rPr>
                <w:sz w:val="22"/>
                <w:szCs w:val="22"/>
              </w:rPr>
              <w:t>amp</w:t>
            </w:r>
            <w:proofErr w:type="spellEnd"/>
            <w:r w:rsidRPr="002E2BB1">
              <w:rPr>
                <w:sz w:val="22"/>
                <w:szCs w:val="22"/>
              </w:rPr>
              <w:t xml:space="preserve">/1 fiolka. proszku + 1 </w:t>
            </w:r>
            <w:proofErr w:type="spellStart"/>
            <w:r w:rsidRPr="002E2BB1">
              <w:rPr>
                <w:sz w:val="22"/>
                <w:szCs w:val="22"/>
              </w:rPr>
              <w:t>amp</w:t>
            </w:r>
            <w:proofErr w:type="spellEnd"/>
            <w:r w:rsidRPr="002E2BB1">
              <w:rPr>
                <w:sz w:val="22"/>
                <w:szCs w:val="22"/>
              </w:rPr>
              <w:t xml:space="preserve">. </w:t>
            </w:r>
            <w:proofErr w:type="spellStart"/>
            <w:r w:rsidRPr="002E2BB1">
              <w:rPr>
                <w:sz w:val="22"/>
                <w:szCs w:val="22"/>
              </w:rPr>
              <w:t>rozp</w:t>
            </w:r>
            <w:proofErr w:type="spellEnd"/>
            <w:r w:rsidRPr="002E2BB1">
              <w:rPr>
                <w:sz w:val="22"/>
                <w:szCs w:val="22"/>
              </w:rPr>
              <w:t xml:space="preserve">.; proszek i rozpuszczalnik do sporządzania zawiesiny do podawania do pęcherza moczowego; dawka 100 mg </w:t>
            </w:r>
            <w:proofErr w:type="spellStart"/>
            <w:r w:rsidRPr="002E2BB1">
              <w:rPr>
                <w:sz w:val="22"/>
                <w:szCs w:val="22"/>
              </w:rPr>
              <w:t>mg</w:t>
            </w:r>
            <w:proofErr w:type="spellEnd"/>
            <w:r w:rsidRPr="002E2BB1">
              <w:rPr>
                <w:sz w:val="22"/>
                <w:szCs w:val="22"/>
              </w:rPr>
              <w:t xml:space="preserve"> (nie mniej niż 300 mln i nie więcej niż 1,2 mld ilości </w:t>
            </w:r>
            <w:proofErr w:type="spellStart"/>
            <w:r w:rsidRPr="002E2BB1">
              <w:rPr>
                <w:sz w:val="22"/>
                <w:szCs w:val="22"/>
              </w:rPr>
              <w:t>atenuowanych</w:t>
            </w:r>
            <w:proofErr w:type="spellEnd"/>
            <w:r w:rsidRPr="002E2BB1">
              <w:rPr>
                <w:sz w:val="22"/>
                <w:szCs w:val="22"/>
              </w:rPr>
              <w:t xml:space="preserve"> prątków BCG, </w:t>
            </w:r>
            <w:proofErr w:type="spellStart"/>
            <w:r w:rsidRPr="002E2BB1">
              <w:rPr>
                <w:sz w:val="22"/>
                <w:szCs w:val="22"/>
              </w:rPr>
              <w:t>podszczep</w:t>
            </w:r>
            <w:proofErr w:type="spellEnd"/>
            <w:r w:rsidRPr="002E2BB1">
              <w:rPr>
                <w:sz w:val="22"/>
                <w:szCs w:val="22"/>
              </w:rPr>
              <w:t xml:space="preserve"> Moreau)? Szczególnie istotne jest, że stosowanie leków </w:t>
            </w:r>
            <w:proofErr w:type="spellStart"/>
            <w:r w:rsidRPr="002E2BB1">
              <w:rPr>
                <w:sz w:val="22"/>
                <w:szCs w:val="22"/>
              </w:rPr>
              <w:t>Onko</w:t>
            </w:r>
            <w:proofErr w:type="spellEnd"/>
            <w:r w:rsidRPr="002E2BB1">
              <w:rPr>
                <w:sz w:val="22"/>
                <w:szCs w:val="22"/>
              </w:rPr>
              <w:t xml:space="preserve"> BCG nie stanowi żadnego zagrożenia dla personelu medycznego przygotowującego je do podania pacjentom. Leki zawierające prątki BCG – w tym </w:t>
            </w:r>
            <w:proofErr w:type="spellStart"/>
            <w:r w:rsidRPr="002E2BB1">
              <w:rPr>
                <w:sz w:val="22"/>
                <w:szCs w:val="22"/>
              </w:rPr>
              <w:t>Onko</w:t>
            </w:r>
            <w:proofErr w:type="spellEnd"/>
            <w:r w:rsidRPr="002E2BB1">
              <w:rPr>
                <w:sz w:val="22"/>
                <w:szCs w:val="22"/>
              </w:rPr>
              <w:t xml:space="preserve"> BCG, są bezpieczne dla dróg oddechowych lekarzy oraz innych osób mających kontakt z ww. lekami. Zgodnie z opinią Prof. Marii </w:t>
            </w:r>
            <w:proofErr w:type="spellStart"/>
            <w:r w:rsidRPr="002E2BB1">
              <w:rPr>
                <w:sz w:val="22"/>
                <w:szCs w:val="22"/>
              </w:rPr>
              <w:t>Korzeniewskiej_Koseły</w:t>
            </w:r>
            <w:proofErr w:type="spellEnd"/>
            <w:r w:rsidRPr="002E2BB1">
              <w:rPr>
                <w:sz w:val="22"/>
                <w:szCs w:val="22"/>
              </w:rPr>
              <w:t xml:space="preserve"> (Zakład Epidemiologii i Organizacji Walki z Gruźlicą, Instytut Gruźlicy i Chorób Płuc) zawartą w opracowaniu „Opinia dotycząca bezpieczeństwa przygotowania produktów BCG” z dnia 10 lutego 2023 roku „nie jest prawdopodobne, by w czasie przygotowania zawiesiny, czy to w układzie zamkniętym czy otwartym, personel był narażony na chorobę płuc wywołaną przez prątki BCG. Całość procedury przygotowania leku do aplikacji nie zagraża inhalacją prątków do dróg oddechowych. W piśmiennictwie medycznym nie opisano przypadku choroby płuc w wyniku zakażenia prątkami BCG drogą wziewną”. Zgodnie z Rozporządzeniem Ministra Zdrowia z dnia 22 kwietnia 2005 roku w sprawie szkodliwych czynników biologicznych dla zdrowia i środowiska pracy oraz ochrony zdrowia pracowników zawodowo narażonych na te czynniki: Szczepionki BCG należy zakwalifikować zgodnie z załącznikiem Nr 5 do szkodliwych czynników biologicznych grupy 1 zagrożenia. "W przypadku pracy ze szkodliwymi czynnikami biologicznymi grupy 1 zagrożenia, w tym z </w:t>
            </w:r>
            <w:proofErr w:type="spellStart"/>
            <w:r w:rsidRPr="002E2BB1">
              <w:rPr>
                <w:sz w:val="22"/>
                <w:szCs w:val="22"/>
              </w:rPr>
              <w:t>atenuowanymi</w:t>
            </w:r>
            <w:proofErr w:type="spellEnd"/>
            <w:r w:rsidRPr="002E2BB1">
              <w:rPr>
                <w:sz w:val="22"/>
                <w:szCs w:val="22"/>
              </w:rPr>
              <w:t xml:space="preserve"> szczepionkami, należy stosować odpowiednie zasady bezpieczeństwa i higieny pracy". Dla grupy 1 zagrożenia zgodnie z Rozporządzeniem niewymagane są środki hermetyczności. Dodatkowo </w:t>
            </w:r>
            <w:r w:rsidRPr="002E2BB1">
              <w:rPr>
                <w:sz w:val="22"/>
                <w:szCs w:val="22"/>
              </w:rPr>
              <w:lastRenderedPageBreak/>
              <w:t xml:space="preserve">w Karcie Charakterystyki </w:t>
            </w:r>
            <w:proofErr w:type="spellStart"/>
            <w:r w:rsidRPr="002E2BB1">
              <w:rPr>
                <w:sz w:val="22"/>
                <w:szCs w:val="22"/>
              </w:rPr>
              <w:t>Onko</w:t>
            </w:r>
            <w:proofErr w:type="spellEnd"/>
            <w:r w:rsidRPr="002E2BB1">
              <w:rPr>
                <w:sz w:val="22"/>
                <w:szCs w:val="22"/>
              </w:rPr>
              <w:t xml:space="preserve"> BCG 50 i </w:t>
            </w:r>
            <w:proofErr w:type="spellStart"/>
            <w:r w:rsidRPr="002E2BB1">
              <w:rPr>
                <w:sz w:val="22"/>
                <w:szCs w:val="22"/>
              </w:rPr>
              <w:t>Onko</w:t>
            </w:r>
            <w:proofErr w:type="spellEnd"/>
            <w:r w:rsidRPr="002E2BB1">
              <w:rPr>
                <w:sz w:val="22"/>
                <w:szCs w:val="22"/>
              </w:rPr>
              <w:t xml:space="preserve"> BCG 100 w punkcie: Sekcja 2. IDENTYFIKACJA ZAGROŻEŃ Punkt 2.3. Podczas obchodzenia się z produktem i podczas jego przygotowywania należy stosować zwykłe środki ostrożności typowe dla produktów leczniczych. Produkt nie został sklasyfikowany jako substancja niebezpieczna. Produkt zawiera żywe </w:t>
            </w:r>
            <w:proofErr w:type="spellStart"/>
            <w:r w:rsidRPr="002E2BB1">
              <w:rPr>
                <w:sz w:val="22"/>
                <w:szCs w:val="22"/>
              </w:rPr>
              <w:t>atenuowane</w:t>
            </w:r>
            <w:proofErr w:type="spellEnd"/>
            <w:r w:rsidRPr="002E2BB1">
              <w:rPr>
                <w:sz w:val="22"/>
                <w:szCs w:val="22"/>
              </w:rPr>
              <w:t xml:space="preserve"> prątki, jest bezpieczny dla pacjenta jeśli jest stosowany zgodnie z zaleceniami zawartymi w ulotce informacyjnej. Sekcja 3. SKŁAD/ INFORMACJA O SKŁADNIKACH Punkt 3.1 </w:t>
            </w:r>
            <w:proofErr w:type="spellStart"/>
            <w:r w:rsidRPr="002E2BB1">
              <w:rPr>
                <w:sz w:val="22"/>
                <w:szCs w:val="22"/>
              </w:rPr>
              <w:t>Atenuowany</w:t>
            </w:r>
            <w:proofErr w:type="spellEnd"/>
            <w:r w:rsidRPr="002E2BB1">
              <w:rPr>
                <w:sz w:val="22"/>
                <w:szCs w:val="22"/>
              </w:rPr>
              <w:t xml:space="preserve"> szczep </w:t>
            </w:r>
            <w:proofErr w:type="spellStart"/>
            <w:r w:rsidRPr="002E2BB1">
              <w:rPr>
                <w:sz w:val="22"/>
                <w:szCs w:val="22"/>
              </w:rPr>
              <w:t>Mycobakterium</w:t>
            </w:r>
            <w:proofErr w:type="spellEnd"/>
            <w:r w:rsidRPr="002E2BB1">
              <w:rPr>
                <w:sz w:val="22"/>
                <w:szCs w:val="22"/>
              </w:rPr>
              <w:t xml:space="preserve"> </w:t>
            </w:r>
            <w:proofErr w:type="spellStart"/>
            <w:r w:rsidRPr="002E2BB1">
              <w:rPr>
                <w:sz w:val="22"/>
                <w:szCs w:val="22"/>
              </w:rPr>
              <w:t>bovis</w:t>
            </w:r>
            <w:proofErr w:type="spellEnd"/>
            <w:r w:rsidRPr="002E2BB1">
              <w:rPr>
                <w:sz w:val="22"/>
                <w:szCs w:val="22"/>
              </w:rPr>
              <w:t xml:space="preserve"> (</w:t>
            </w:r>
            <w:proofErr w:type="spellStart"/>
            <w:r w:rsidRPr="002E2BB1">
              <w:rPr>
                <w:sz w:val="22"/>
                <w:szCs w:val="22"/>
              </w:rPr>
              <w:t>Bacillus</w:t>
            </w:r>
            <w:proofErr w:type="spellEnd"/>
            <w:r w:rsidRPr="002E2BB1">
              <w:rPr>
                <w:sz w:val="22"/>
                <w:szCs w:val="22"/>
              </w:rPr>
              <w:t xml:space="preserve"> </w:t>
            </w:r>
            <w:proofErr w:type="spellStart"/>
            <w:r w:rsidRPr="002E2BB1">
              <w:rPr>
                <w:sz w:val="22"/>
                <w:szCs w:val="22"/>
              </w:rPr>
              <w:t>Calmette-Guern</w:t>
            </w:r>
            <w:proofErr w:type="spellEnd"/>
            <w:r w:rsidRPr="002E2BB1">
              <w:rPr>
                <w:sz w:val="22"/>
                <w:szCs w:val="22"/>
              </w:rPr>
              <w:t xml:space="preserve"> </w:t>
            </w:r>
            <w:proofErr w:type="spellStart"/>
            <w:r w:rsidRPr="002E2BB1">
              <w:rPr>
                <w:sz w:val="22"/>
                <w:szCs w:val="22"/>
              </w:rPr>
              <w:t>podszczep</w:t>
            </w:r>
            <w:proofErr w:type="spellEnd"/>
            <w:r w:rsidRPr="002E2BB1">
              <w:rPr>
                <w:sz w:val="22"/>
                <w:szCs w:val="22"/>
              </w:rPr>
              <w:t xml:space="preserve"> Moreau) - nie jest przedmiotem klasyfikacji jako substancja chemicznie niebezpieczna. Stosowanie tzw. „systemu zamkniętego” czy wymagania w zakresie zawartości żywych prątków BCG szczep RIVM w 1 fiolce i inne wymagania charakterystyczne dla sposobu podawania leku nie mają żadnego wpływu na bezpieczeństwo pacjentów czy personelu medycznego. Tym samym, proces przygotowania leków BCG do ich podania pacjentom jest całkowicie bezpieczny z punktu widzenia personelu medycznego zarówno w przypadku </w:t>
            </w:r>
            <w:proofErr w:type="spellStart"/>
            <w:r w:rsidRPr="002E2BB1">
              <w:rPr>
                <w:sz w:val="22"/>
                <w:szCs w:val="22"/>
              </w:rPr>
              <w:t>Onko</w:t>
            </w:r>
            <w:proofErr w:type="spellEnd"/>
            <w:r w:rsidRPr="002E2BB1">
              <w:rPr>
                <w:sz w:val="22"/>
                <w:szCs w:val="22"/>
              </w:rPr>
              <w:t xml:space="preserve"> BCG jak i produktu konkurencyjnego zawierającego tzw. „system zamknięty”. Podawanie leku w tzw. „systemie zamkniętym” jest niczym więcej jak tylko INNYM sposobem jego zastosowania. Nie jest on w żaden sposób bezpieczniejszy dla personelu czy pacjentów. Określenie „system zamknięty” ma to sugerować ale nie jest to prawdą. Jest to po prostu inny system ale nie ma żadnego wpływu na bezpieczeństwo jego stosowania. W odniesieniu do wymagań Zamawiającego dotyczących szczepionki BCG do immunoterapii Wykonawca wskazuje, że oferuje lek </w:t>
            </w:r>
            <w:proofErr w:type="spellStart"/>
            <w:r w:rsidRPr="002E2BB1">
              <w:rPr>
                <w:sz w:val="22"/>
                <w:szCs w:val="22"/>
              </w:rPr>
              <w:t>Onko</w:t>
            </w:r>
            <w:proofErr w:type="spellEnd"/>
            <w:r w:rsidRPr="002E2BB1">
              <w:rPr>
                <w:sz w:val="22"/>
                <w:szCs w:val="22"/>
              </w:rPr>
              <w:t xml:space="preserve"> BCG. Zastosowanie leków zawierających prątki BCG, w tym naszego produktu stanowi ugruntowaną metodę leczenia w polskiej praktyce klinicznej. Na rynku znajduje się kilka szczepionek zawierających prątki BCG, które mogą być stosowane w immunoterapii pęcherza moczowego, różniących się od siebie szczepami wykorzystanych w nich bakterii. Wymaga przy tym podkreślenia, że okoliczność ta nie wpływa w żaden sposób na skuteczność oraz bezpieczeństwo konkretnego produktu leczniczego. Wszystkie produkty lecznicze zawierające prątki BCG wykazują analogiczny efekt terapeutyczny i są tak samo bezpieczne niezależnie od sposobu ich podania. Podkreślamy, że nie ma na rynku konkretnego produktu leczniczego (konkretnej szczepionki), który przeważałby nad pozostałymi m.in. w zakresie swojej skuteczności oraz co szczególnie ważne - w zakresie bezpieczeństwa. Podmioty działające w sektorze ochrony zdrowia nie wydały do tej pory żadnego rodzaju komunikatów, zaleceń, bądź rekomendacji, które mogłyby wskazywać na to, że stosowanie wyłącznie jednego z ww. produktów jest korzystniejsze. Wnosimy zatem o potwierdzenie przez Zamawiającego w odpowiedzi na nasz wniosek, że dopuszcza zaoferowanie leku </w:t>
            </w:r>
            <w:proofErr w:type="spellStart"/>
            <w:r w:rsidRPr="002E2BB1">
              <w:rPr>
                <w:sz w:val="22"/>
                <w:szCs w:val="22"/>
              </w:rPr>
              <w:t>Onko</w:t>
            </w:r>
            <w:proofErr w:type="spellEnd"/>
            <w:r w:rsidRPr="002E2BB1">
              <w:rPr>
                <w:sz w:val="22"/>
                <w:szCs w:val="22"/>
              </w:rPr>
              <w:t xml:space="preserve"> BCG100 1 </w:t>
            </w:r>
            <w:proofErr w:type="spellStart"/>
            <w:r w:rsidRPr="002E2BB1">
              <w:rPr>
                <w:sz w:val="22"/>
                <w:szCs w:val="22"/>
              </w:rPr>
              <w:t>amp</w:t>
            </w:r>
            <w:proofErr w:type="spellEnd"/>
            <w:r w:rsidRPr="002E2BB1">
              <w:rPr>
                <w:sz w:val="22"/>
                <w:szCs w:val="22"/>
              </w:rPr>
              <w:t xml:space="preserve">/1 fiolka. proszku + 1 </w:t>
            </w:r>
            <w:proofErr w:type="spellStart"/>
            <w:r w:rsidRPr="002E2BB1">
              <w:rPr>
                <w:sz w:val="22"/>
                <w:szCs w:val="22"/>
              </w:rPr>
              <w:t>amp</w:t>
            </w:r>
            <w:proofErr w:type="spellEnd"/>
            <w:r w:rsidRPr="002E2BB1">
              <w:rPr>
                <w:sz w:val="22"/>
                <w:szCs w:val="22"/>
              </w:rPr>
              <w:t xml:space="preserve">. </w:t>
            </w:r>
            <w:proofErr w:type="spellStart"/>
            <w:r w:rsidRPr="002E2BB1">
              <w:rPr>
                <w:sz w:val="22"/>
                <w:szCs w:val="22"/>
              </w:rPr>
              <w:t>rozp</w:t>
            </w:r>
            <w:proofErr w:type="spellEnd"/>
            <w:r w:rsidRPr="002E2BB1">
              <w:rPr>
                <w:sz w:val="22"/>
                <w:szCs w:val="22"/>
              </w:rPr>
              <w:t xml:space="preserve">.; proszek i rozpuszczalnik do sporządzania zawiesiny do podawania do pęcherza moczowego; dawka 100 mg (nie mniej niż 300 mln i nie więcej niż 1,2 mld ilości </w:t>
            </w:r>
            <w:proofErr w:type="spellStart"/>
            <w:r w:rsidRPr="002E2BB1">
              <w:rPr>
                <w:sz w:val="22"/>
                <w:szCs w:val="22"/>
              </w:rPr>
              <w:t>atenuowanych</w:t>
            </w:r>
            <w:proofErr w:type="spellEnd"/>
            <w:r w:rsidRPr="002E2BB1">
              <w:rPr>
                <w:sz w:val="22"/>
                <w:szCs w:val="22"/>
              </w:rPr>
              <w:t xml:space="preserve"> prątków BCG, </w:t>
            </w:r>
            <w:proofErr w:type="spellStart"/>
            <w:r w:rsidRPr="002E2BB1">
              <w:rPr>
                <w:sz w:val="22"/>
                <w:szCs w:val="22"/>
              </w:rPr>
              <w:t>podszczep</w:t>
            </w:r>
            <w:proofErr w:type="spellEnd"/>
            <w:r w:rsidRPr="002E2BB1">
              <w:rPr>
                <w:sz w:val="22"/>
                <w:szCs w:val="22"/>
              </w:rPr>
              <w:t xml:space="preserve"> Moreau) i tym samym nie doprowadzi do sytuacji w której Zamawiający zmuszony będzie do wyboru zdecydowanie droższej (około 50%) opcji terapeutycznej (faktem notoryjnym jest występowanie na rynku tylko dwóch produktów odpowiadających potrzebom określonym w niniejszym postępowaniu przetargowym). Zasadność niniejszego twierdzenia wynika z porównania cen rynkowych leku </w:t>
            </w:r>
            <w:proofErr w:type="spellStart"/>
            <w:r w:rsidRPr="002E2BB1">
              <w:rPr>
                <w:sz w:val="22"/>
                <w:szCs w:val="22"/>
              </w:rPr>
              <w:t>Onko</w:t>
            </w:r>
            <w:proofErr w:type="spellEnd"/>
            <w:r w:rsidRPr="002E2BB1">
              <w:rPr>
                <w:sz w:val="22"/>
                <w:szCs w:val="22"/>
              </w:rPr>
              <w:t xml:space="preserve"> BCG100 oraz produktu konkurencyjnego w tzw. „zestawie zamkniętym”.</w:t>
            </w:r>
          </w:p>
          <w:p w14:paraId="621376E2" w14:textId="4A21ED5E" w:rsidR="00AE1413" w:rsidRPr="002E2BB1" w:rsidRDefault="00AE1413" w:rsidP="002E2BB1">
            <w:pPr>
              <w:spacing w:after="40"/>
              <w:ind w:left="30" w:right="-72"/>
              <w:rPr>
                <w:b/>
                <w:bCs/>
                <w:sz w:val="22"/>
                <w:szCs w:val="22"/>
              </w:rPr>
            </w:pPr>
            <w:r w:rsidRPr="002E2BB1">
              <w:rPr>
                <w:b/>
                <w:bCs/>
                <w:sz w:val="22"/>
                <w:szCs w:val="22"/>
              </w:rPr>
              <w:t>Odpowiedź:</w:t>
            </w:r>
            <w:r w:rsidR="00E61E12">
              <w:rPr>
                <w:b/>
                <w:bCs/>
                <w:sz w:val="22"/>
                <w:szCs w:val="22"/>
              </w:rPr>
              <w:t xml:space="preserve"> Zamawiający nie wyraża zgody. Zamawiający wymaga zaproponowania produktu będącego systemem zamkniętym, zawierającego </w:t>
            </w:r>
            <w:r w:rsidR="00E61E12" w:rsidRPr="00E61E12">
              <w:rPr>
                <w:b/>
                <w:bCs/>
                <w:sz w:val="22"/>
                <w:szCs w:val="22"/>
              </w:rPr>
              <w:t xml:space="preserve">nie mniej niż </w:t>
            </w:r>
            <w:r w:rsidR="00E61E12" w:rsidRPr="008C284A">
              <w:rPr>
                <w:b/>
                <w:bCs/>
                <w:color w:val="FF0000"/>
                <w:sz w:val="22"/>
                <w:szCs w:val="22"/>
              </w:rPr>
              <w:t>2x10</w:t>
            </w:r>
            <w:r w:rsidR="00E61E12" w:rsidRPr="008C284A">
              <w:rPr>
                <w:b/>
                <w:bCs/>
                <w:color w:val="FF0000"/>
                <w:sz w:val="22"/>
                <w:szCs w:val="22"/>
                <w:vertAlign w:val="superscript"/>
              </w:rPr>
              <w:t>8</w:t>
            </w:r>
            <w:r w:rsidR="00E61E12" w:rsidRPr="00E61E12">
              <w:rPr>
                <w:b/>
                <w:bCs/>
                <w:sz w:val="22"/>
                <w:szCs w:val="22"/>
              </w:rPr>
              <w:t xml:space="preserve"> i nie więcej niż </w:t>
            </w:r>
            <w:r w:rsidR="00E61E12" w:rsidRPr="008C284A">
              <w:rPr>
                <w:b/>
                <w:bCs/>
                <w:color w:val="FF0000"/>
                <w:sz w:val="22"/>
                <w:szCs w:val="22"/>
              </w:rPr>
              <w:t>3x10</w:t>
            </w:r>
            <w:r w:rsidR="00E61E12" w:rsidRPr="008C284A">
              <w:rPr>
                <w:b/>
                <w:bCs/>
                <w:color w:val="FF0000"/>
                <w:sz w:val="22"/>
                <w:szCs w:val="22"/>
                <w:vertAlign w:val="superscript"/>
              </w:rPr>
              <w:t>9</w:t>
            </w:r>
            <w:r w:rsidR="00E61E12" w:rsidRPr="00E61E12">
              <w:rPr>
                <w:b/>
                <w:bCs/>
                <w:sz w:val="22"/>
                <w:szCs w:val="22"/>
              </w:rPr>
              <w:t xml:space="preserve"> żywych cząstek BCG</w:t>
            </w:r>
            <w:r w:rsidR="00E61E12">
              <w:rPr>
                <w:b/>
                <w:bCs/>
                <w:sz w:val="22"/>
                <w:szCs w:val="22"/>
              </w:rPr>
              <w:t>.</w:t>
            </w:r>
          </w:p>
        </w:tc>
      </w:tr>
    </w:tbl>
    <w:p w14:paraId="550F20D5" w14:textId="77777777" w:rsidR="00BE7BFD" w:rsidRPr="002E2BB1" w:rsidRDefault="00BE7BFD" w:rsidP="00520165">
      <w:pPr>
        <w:jc w:val="both"/>
        <w:rPr>
          <w:sz w:val="22"/>
          <w:szCs w:val="22"/>
        </w:rPr>
      </w:pPr>
    </w:p>
    <w:p w14:paraId="78D9F437" w14:textId="77777777" w:rsidR="002E2BB1" w:rsidRDefault="002E2BB1" w:rsidP="00BE62A3">
      <w:pPr>
        <w:pStyle w:val="Tekstpodstawowy"/>
        <w:spacing w:before="120" w:after="480"/>
        <w:ind w:left="3119" w:firstLine="425"/>
        <w:jc w:val="center"/>
        <w:rPr>
          <w:sz w:val="24"/>
          <w:szCs w:val="24"/>
        </w:rPr>
      </w:pPr>
    </w:p>
    <w:p w14:paraId="406B6D16" w14:textId="11E427DD" w:rsidR="006D4AB3" w:rsidRPr="002E2BB1" w:rsidRDefault="00BE62A3" w:rsidP="00BE62A3">
      <w:pPr>
        <w:pStyle w:val="Tekstpodstawowy"/>
        <w:spacing w:before="120" w:after="480"/>
        <w:ind w:left="3119" w:firstLine="425"/>
        <w:jc w:val="center"/>
        <w:rPr>
          <w:i/>
          <w:iCs/>
          <w:sz w:val="24"/>
          <w:szCs w:val="24"/>
        </w:rPr>
      </w:pPr>
      <w:r w:rsidRPr="002E2BB1">
        <w:rPr>
          <w:i/>
          <w:iCs/>
          <w:sz w:val="24"/>
          <w:szCs w:val="24"/>
        </w:rPr>
        <w:t>Przewodniczący Komisji Przetargowej</w:t>
      </w:r>
    </w:p>
    <w:p w14:paraId="7444B96F" w14:textId="1BFB471F" w:rsidR="006D4AB3" w:rsidRPr="002E2BB1" w:rsidRDefault="002E2BB1" w:rsidP="002E2BB1">
      <w:pPr>
        <w:spacing w:before="120" w:after="120" w:line="360" w:lineRule="auto"/>
        <w:ind w:left="4394" w:firstLine="562"/>
        <w:rPr>
          <w:i/>
          <w:iCs/>
          <w:sz w:val="24"/>
          <w:szCs w:val="24"/>
        </w:rPr>
      </w:pPr>
      <w:r w:rsidRPr="002E2BB1">
        <w:rPr>
          <w:i/>
          <w:iCs/>
          <w:sz w:val="24"/>
          <w:szCs w:val="24"/>
        </w:rPr>
        <w:t xml:space="preserve">      </w:t>
      </w:r>
      <w:r w:rsidR="00AE1413" w:rsidRPr="002E2BB1">
        <w:rPr>
          <w:i/>
          <w:iCs/>
          <w:sz w:val="24"/>
          <w:szCs w:val="24"/>
        </w:rPr>
        <w:t>Barbara</w:t>
      </w:r>
      <w:r w:rsidR="006D4AB3" w:rsidRPr="002E2BB1">
        <w:rPr>
          <w:i/>
          <w:iCs/>
          <w:sz w:val="24"/>
          <w:szCs w:val="24"/>
        </w:rPr>
        <w:t xml:space="preserve"> </w:t>
      </w:r>
      <w:proofErr w:type="spellStart"/>
      <w:r w:rsidR="00AE1413" w:rsidRPr="002E2BB1">
        <w:rPr>
          <w:i/>
          <w:iCs/>
          <w:sz w:val="24"/>
          <w:szCs w:val="24"/>
        </w:rPr>
        <w:t>Parcz</w:t>
      </w:r>
      <w:proofErr w:type="spellEnd"/>
    </w:p>
    <w:sectPr w:rsidR="006D4AB3" w:rsidRPr="002E2BB1" w:rsidSect="009B1C45">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C2B36" w14:textId="77777777" w:rsidR="009B1C45" w:rsidRDefault="009B1C45">
      <w:r>
        <w:separator/>
      </w:r>
    </w:p>
  </w:endnote>
  <w:endnote w:type="continuationSeparator" w:id="0">
    <w:p w14:paraId="7AE3CE7F" w14:textId="77777777" w:rsidR="009B1C45" w:rsidRDefault="009B1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86E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95C8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4AA80" w14:textId="7FC8C4D7" w:rsidR="006D4AB3" w:rsidRDefault="004D1E3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7C2E2F3" wp14:editId="7C12FEE0">
              <wp:simplePos x="0" y="0"/>
              <wp:positionH relativeFrom="column">
                <wp:posOffset>-48895</wp:posOffset>
              </wp:positionH>
              <wp:positionV relativeFrom="paragraph">
                <wp:posOffset>111125</wp:posOffset>
              </wp:positionV>
              <wp:extent cx="5829300" cy="0"/>
              <wp:effectExtent l="0" t="0" r="0" b="0"/>
              <wp:wrapNone/>
              <wp:docPr id="146561948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84ED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E8DA133" w14:textId="1EE8F825"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80D0A" w14:textId="77777777" w:rsidR="006D4AB3" w:rsidRDefault="006D4AB3">
    <w:pPr>
      <w:pStyle w:val="Stopka"/>
      <w:pBdr>
        <w:bottom w:val="single" w:sz="6" w:space="0" w:color="auto"/>
      </w:pBdr>
      <w:tabs>
        <w:tab w:val="clear" w:pos="4536"/>
        <w:tab w:val="left" w:pos="6237"/>
      </w:tabs>
    </w:pPr>
  </w:p>
  <w:p w14:paraId="3559001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2663D51" w14:textId="77777777" w:rsidR="006D4AB3" w:rsidRDefault="006D4AB3">
    <w:pPr>
      <w:pStyle w:val="Stopka"/>
      <w:tabs>
        <w:tab w:val="clear" w:pos="4536"/>
        <w:tab w:val="left" w:pos="6237"/>
      </w:tabs>
    </w:pPr>
  </w:p>
  <w:p w14:paraId="174B0BA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93C2F" w14:textId="77777777" w:rsidR="009B1C45" w:rsidRDefault="009B1C45">
      <w:r>
        <w:separator/>
      </w:r>
    </w:p>
  </w:footnote>
  <w:footnote w:type="continuationSeparator" w:id="0">
    <w:p w14:paraId="59C8789C" w14:textId="77777777" w:rsidR="009B1C45" w:rsidRDefault="009B1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815B" w14:textId="77777777" w:rsidR="00AE1413" w:rsidRDefault="00AE14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9F532" w14:textId="77777777" w:rsidR="00AE1413" w:rsidRDefault="00AE14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29048" w14:textId="77777777" w:rsidR="00AE1413" w:rsidRDefault="00AE14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7651118">
    <w:abstractNumId w:val="3"/>
  </w:num>
  <w:num w:numId="2" w16cid:durableId="135495073">
    <w:abstractNumId w:val="6"/>
  </w:num>
  <w:num w:numId="3" w16cid:durableId="1686588851">
    <w:abstractNumId w:val="2"/>
  </w:num>
  <w:num w:numId="4" w16cid:durableId="294412252">
    <w:abstractNumId w:val="5"/>
  </w:num>
  <w:num w:numId="5" w16cid:durableId="1278755961">
    <w:abstractNumId w:val="0"/>
  </w:num>
  <w:num w:numId="6" w16cid:durableId="226457985">
    <w:abstractNumId w:val="1"/>
  </w:num>
  <w:num w:numId="7" w16cid:durableId="3403550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C45"/>
    <w:rsid w:val="00031374"/>
    <w:rsid w:val="000A1097"/>
    <w:rsid w:val="000E2A8F"/>
    <w:rsid w:val="0012774F"/>
    <w:rsid w:val="00144B7A"/>
    <w:rsid w:val="00180C6E"/>
    <w:rsid w:val="0029606A"/>
    <w:rsid w:val="002E2BB1"/>
    <w:rsid w:val="004848F3"/>
    <w:rsid w:val="004A75F2"/>
    <w:rsid w:val="004D1E30"/>
    <w:rsid w:val="005144A9"/>
    <w:rsid w:val="00520165"/>
    <w:rsid w:val="00532B84"/>
    <w:rsid w:val="005B1B08"/>
    <w:rsid w:val="00632C3C"/>
    <w:rsid w:val="00662BDB"/>
    <w:rsid w:val="006A5DF1"/>
    <w:rsid w:val="006B7198"/>
    <w:rsid w:val="006D4AB3"/>
    <w:rsid w:val="006F3B81"/>
    <w:rsid w:val="007D7198"/>
    <w:rsid w:val="00870F9F"/>
    <w:rsid w:val="008804B6"/>
    <w:rsid w:val="00897AB0"/>
    <w:rsid w:val="008A3553"/>
    <w:rsid w:val="008C284A"/>
    <w:rsid w:val="009003D1"/>
    <w:rsid w:val="00947A50"/>
    <w:rsid w:val="00997183"/>
    <w:rsid w:val="009B1C45"/>
    <w:rsid w:val="00A905AC"/>
    <w:rsid w:val="00AE1413"/>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61E12"/>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E8E20"/>
  <w15:chartTrackingRefBased/>
  <w15:docId w15:val="{6B6ACC91-4355-4752-8C9C-98D27F43C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8C284A"/>
    <w:rPr>
      <w:color w:val="0563C1" w:themeColor="hyperlink"/>
      <w:u w:val="single"/>
    </w:rPr>
  </w:style>
  <w:style w:type="character" w:styleId="Nierozpoznanawzmianka">
    <w:name w:val="Unresolved Mention"/>
    <w:basedOn w:val="Domylnaczcionkaakapitu"/>
    <w:uiPriority w:val="99"/>
    <w:semiHidden/>
    <w:unhideWhenUsed/>
    <w:rsid w:val="008C2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2</Pages>
  <Words>879</Words>
  <Characters>5759</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2024-03-21T10:20:00Z</cp:lastPrinted>
  <dcterms:created xsi:type="dcterms:W3CDTF">2024-03-21T10:02:00Z</dcterms:created>
  <dcterms:modified xsi:type="dcterms:W3CDTF">2024-03-21T10:21:00Z</dcterms:modified>
</cp:coreProperties>
</file>