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B138AF9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3B1E54" w:rsidRPr="003B1E54">
        <w:rPr>
          <w:rFonts w:ascii="Arial" w:hAnsi="Arial" w:cs="Arial"/>
          <w:b/>
          <w:bCs/>
          <w:sz w:val="21"/>
          <w:szCs w:val="21"/>
        </w:rPr>
        <w:t xml:space="preserve">Zakup i dostawa produktów farmaceutycznych (antybiotyki, </w:t>
      </w:r>
      <w:proofErr w:type="spellStart"/>
      <w:r w:rsidR="003B1E54" w:rsidRPr="003B1E54">
        <w:rPr>
          <w:rFonts w:ascii="Arial" w:hAnsi="Arial" w:cs="Arial"/>
          <w:b/>
          <w:bCs/>
          <w:sz w:val="21"/>
          <w:szCs w:val="21"/>
        </w:rPr>
        <w:t>fosfomycin</w:t>
      </w:r>
      <w:proofErr w:type="spellEnd"/>
      <w:r w:rsidR="003B1E54" w:rsidRPr="003B1E54">
        <w:rPr>
          <w:rFonts w:ascii="Arial" w:hAnsi="Arial" w:cs="Arial"/>
          <w:b/>
          <w:bCs/>
          <w:sz w:val="21"/>
          <w:szCs w:val="21"/>
        </w:rPr>
        <w:t xml:space="preserve">, </w:t>
      </w:r>
      <w:proofErr w:type="spellStart"/>
      <w:r w:rsidR="003B1E54" w:rsidRPr="003B1E54">
        <w:rPr>
          <w:rFonts w:ascii="Arial" w:hAnsi="Arial" w:cs="Arial"/>
          <w:b/>
          <w:bCs/>
          <w:sz w:val="21"/>
          <w:szCs w:val="21"/>
        </w:rPr>
        <w:t>ketamine</w:t>
      </w:r>
      <w:proofErr w:type="spellEnd"/>
      <w:r w:rsidR="003B1E54" w:rsidRPr="003B1E54">
        <w:rPr>
          <w:rFonts w:ascii="Arial" w:hAnsi="Arial" w:cs="Arial"/>
          <w:b/>
          <w:bCs/>
          <w:sz w:val="21"/>
          <w:szCs w:val="21"/>
        </w:rPr>
        <w:t>, żywienie pozajelitowe)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3B1E54">
        <w:rPr>
          <w:rFonts w:ascii="Arial" w:hAnsi="Arial" w:cs="Arial"/>
          <w:b/>
          <w:bCs/>
          <w:sz w:val="21"/>
          <w:szCs w:val="21"/>
        </w:rPr>
        <w:t>13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B1E54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2016-07-26T10:32:00Z</cp:lastPrinted>
  <dcterms:created xsi:type="dcterms:W3CDTF">2022-05-09T10:10:00Z</dcterms:created>
  <dcterms:modified xsi:type="dcterms:W3CDTF">2024-02-13T10:14:00Z</dcterms:modified>
</cp:coreProperties>
</file>