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3BC51F9B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CC19F2">
        <w:rPr>
          <w:rFonts w:eastAsia="Calibri" w:cstheme="minorHAnsi"/>
          <w:b/>
          <w:sz w:val="20"/>
          <w:szCs w:val="20"/>
        </w:rPr>
        <w:t>57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A5258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2FD6AA09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CC19F2" w:rsidRPr="00CC19F2">
        <w:rPr>
          <w:rFonts w:cstheme="minorHAnsi"/>
          <w:b/>
          <w:bCs/>
          <w:sz w:val="20"/>
          <w:szCs w:val="20"/>
        </w:rPr>
        <w:t>Zakup i dostawa odczynników wraz z dzierżawą mikroskopu do wykonywania badań metodą immunofluorescencji pośredniej dla Pracowni Wirusologii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1E6D79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B74CE"/>
    <w:rsid w:val="00CC19F2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603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2023-03-21T13:19:00Z</cp:lastPrinted>
  <dcterms:created xsi:type="dcterms:W3CDTF">2023-12-22T13:16:00Z</dcterms:created>
  <dcterms:modified xsi:type="dcterms:W3CDTF">2023-12-22T13:16:00Z</dcterms:modified>
</cp:coreProperties>
</file>