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EBA3E5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D3368">
        <w:rPr>
          <w:b/>
          <w:sz w:val="22"/>
          <w:szCs w:val="22"/>
        </w:rPr>
        <w:t>54</w:t>
      </w:r>
      <w:r w:rsidR="00916A1E" w:rsidRPr="00916A1E">
        <w:rPr>
          <w:b/>
          <w:sz w:val="22"/>
          <w:szCs w:val="22"/>
        </w:rPr>
        <w:t>/202</w:t>
      </w:r>
      <w:r w:rsidR="00790658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1AE3B3B" w14:textId="35D4E144" w:rsidR="00D64E2B" w:rsidRDefault="00D64E2B" w:rsidP="00D64E2B">
      <w:pPr>
        <w:pStyle w:val="Tekstpodstawowywcity"/>
        <w:ind w:firstLine="0"/>
        <w:jc w:val="center"/>
        <w:rPr>
          <w:b/>
          <w:sz w:val="22"/>
          <w:szCs w:val="22"/>
        </w:rPr>
      </w:pPr>
      <w:r w:rsidRPr="00D64E2B">
        <w:rPr>
          <w:b/>
          <w:sz w:val="22"/>
          <w:szCs w:val="22"/>
        </w:rPr>
        <w:t xml:space="preserve">Zakup i dostawa </w:t>
      </w:r>
      <w:r w:rsidR="007D3368">
        <w:rPr>
          <w:b/>
          <w:sz w:val="22"/>
          <w:szCs w:val="22"/>
        </w:rPr>
        <w:t>produktów farmaceutycznych – roztwory do hemofiltracji i hemodializy</w:t>
      </w:r>
    </w:p>
    <w:p w14:paraId="42D2B795" w14:textId="77777777" w:rsidR="007D3368" w:rsidRDefault="007D3368" w:rsidP="00D64E2B">
      <w:pPr>
        <w:pStyle w:val="Tekstpodstawowywcity"/>
        <w:ind w:firstLine="0"/>
        <w:jc w:val="center"/>
        <w:rPr>
          <w:b/>
          <w:sz w:val="22"/>
          <w:szCs w:val="22"/>
        </w:rPr>
      </w:pPr>
    </w:p>
    <w:p w14:paraId="0ECEE534" w14:textId="14D4C5A0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368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12</cp:revision>
  <cp:lastPrinted>2021-09-23T09:22:00Z</cp:lastPrinted>
  <dcterms:created xsi:type="dcterms:W3CDTF">2021-07-06T08:08:00Z</dcterms:created>
  <dcterms:modified xsi:type="dcterms:W3CDTF">2023-11-17T10:54:00Z</dcterms:modified>
</cp:coreProperties>
</file>