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858ED9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B510E2">
        <w:rPr>
          <w:rFonts w:eastAsia="Calibri" w:cstheme="minorHAnsi"/>
          <w:b/>
          <w:sz w:val="20"/>
          <w:szCs w:val="20"/>
        </w:rPr>
        <w:t>4</w:t>
      </w:r>
      <w:r w:rsidR="00C77709">
        <w:rPr>
          <w:rFonts w:eastAsia="Calibri" w:cstheme="minorHAnsi"/>
          <w:b/>
          <w:sz w:val="20"/>
          <w:szCs w:val="20"/>
        </w:rPr>
        <w:t>3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33FE68A0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C77709" w:rsidRPr="00C77709">
        <w:rPr>
          <w:rFonts w:cstheme="minorHAnsi"/>
          <w:b/>
          <w:bCs/>
          <w:sz w:val="20"/>
          <w:szCs w:val="20"/>
        </w:rPr>
        <w:t>Zakup i dostawa odczynników laboratoryjnych wraz z dzierżawą analizatorów do diagnostyki molekularnej metodą PCR dla potrzeb Pracowni Wirusologii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2023-03-21T13:19:00Z</cp:lastPrinted>
  <dcterms:created xsi:type="dcterms:W3CDTF">2023-09-19T12:51:00Z</dcterms:created>
  <dcterms:modified xsi:type="dcterms:W3CDTF">2023-09-19T12:51:00Z</dcterms:modified>
</cp:coreProperties>
</file>