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CAED668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B510E2">
        <w:rPr>
          <w:rFonts w:eastAsia="Calibri" w:cstheme="minorHAnsi"/>
          <w:b/>
          <w:sz w:val="20"/>
          <w:szCs w:val="20"/>
        </w:rPr>
        <w:t>40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A52583">
        <w:rPr>
          <w:rFonts w:eastAsia="Calibri" w:cstheme="minorHAnsi"/>
          <w:b/>
          <w:sz w:val="20"/>
          <w:szCs w:val="20"/>
        </w:rPr>
        <w:t>3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326BB037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B510E2" w:rsidRPr="00B510E2">
        <w:rPr>
          <w:rFonts w:cstheme="minorHAnsi"/>
          <w:b/>
          <w:bCs/>
          <w:sz w:val="20"/>
          <w:szCs w:val="20"/>
        </w:rPr>
        <w:t>Zakup i dostawa odczynników laboratoryjnych wraz z dzierżawą analizatora do elektroforezy żelowej i wykrywania prążków oligoklonalnych dla Pracowni Wirusologii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2</cp:revision>
  <cp:lastPrinted>2023-03-21T13:19:00Z</cp:lastPrinted>
  <dcterms:created xsi:type="dcterms:W3CDTF">2023-08-25T08:21:00Z</dcterms:created>
  <dcterms:modified xsi:type="dcterms:W3CDTF">2023-08-25T08:21:00Z</dcterms:modified>
</cp:coreProperties>
</file>