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16A78E" w14:textId="281124CD" w:rsidR="002B774F" w:rsidRDefault="002B774F" w:rsidP="002B774F">
      <w:pPr>
        <w:jc w:val="right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Załącznik nr </w:t>
      </w:r>
      <w:r w:rsidR="00614B6D"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  <w:b/>
          <w:u w:val="single"/>
        </w:rPr>
        <w:t xml:space="preserve"> do SWZ – </w:t>
      </w:r>
      <w:r w:rsidR="00C055F6">
        <w:rPr>
          <w:rFonts w:ascii="Times New Roman" w:hAnsi="Times New Roman" w:cs="Times New Roman"/>
          <w:b/>
          <w:u w:val="single"/>
        </w:rPr>
        <w:t>OPZ</w:t>
      </w:r>
    </w:p>
    <w:p w14:paraId="68445197" w14:textId="69492C40" w:rsidR="001D56BD" w:rsidRPr="001D56BD" w:rsidRDefault="00614B6D" w:rsidP="001D56B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PAKIET NR 3</w:t>
      </w:r>
    </w:p>
    <w:p w14:paraId="7BD038B5" w14:textId="54D52048" w:rsidR="001D56BD" w:rsidRPr="001D56BD" w:rsidRDefault="001D56BD" w:rsidP="001D56BD">
      <w:pPr>
        <w:rPr>
          <w:rFonts w:ascii="Times New Roman" w:hAnsi="Times New Roman" w:cs="Times New Roman"/>
          <w:b/>
          <w:bCs/>
        </w:rPr>
      </w:pPr>
      <w:r w:rsidRPr="001D56BD">
        <w:rPr>
          <w:rFonts w:ascii="Times New Roman" w:hAnsi="Times New Roman" w:cs="Times New Roman"/>
          <w:b/>
          <w:bCs/>
        </w:rPr>
        <w:t>OPIS PRZEDMIOTU ZAMÓWIENIA  – załącznik do Formularza ofertowego</w:t>
      </w:r>
    </w:p>
    <w:p w14:paraId="02C682AC" w14:textId="77777777" w:rsidR="001D56BD" w:rsidRDefault="001D56BD" w:rsidP="00D75FF8">
      <w:pPr>
        <w:rPr>
          <w:rFonts w:ascii="Times New Roman" w:hAnsi="Times New Roman" w:cs="Times New Roman"/>
          <w:b/>
          <w:u w:val="single"/>
        </w:rPr>
      </w:pPr>
    </w:p>
    <w:p w14:paraId="1B3E9715" w14:textId="1D636EC5" w:rsidR="009E7242" w:rsidRPr="00A77834" w:rsidRDefault="00E47223" w:rsidP="00D75FF8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Aparat do </w:t>
      </w:r>
      <w:r w:rsidR="00AD6181">
        <w:rPr>
          <w:rFonts w:ascii="Times New Roman" w:hAnsi="Times New Roman" w:cs="Times New Roman"/>
          <w:b/>
          <w:u w:val="single"/>
        </w:rPr>
        <w:t>pomiaru hemodynamiki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74"/>
        <w:gridCol w:w="2932"/>
        <w:gridCol w:w="766"/>
        <w:gridCol w:w="1264"/>
        <w:gridCol w:w="1211"/>
        <w:gridCol w:w="1084"/>
        <w:gridCol w:w="1497"/>
        <w:gridCol w:w="5404"/>
      </w:tblGrid>
      <w:tr w:rsidR="009E7242" w:rsidRPr="00A77834" w14:paraId="584B0B5A" w14:textId="77777777" w:rsidTr="006340A9">
        <w:trPr>
          <w:cantSplit/>
          <w:trHeight w:val="457"/>
        </w:trPr>
        <w:tc>
          <w:tcPr>
            <w:tcW w:w="195" w:type="pct"/>
            <w:vAlign w:val="center"/>
          </w:tcPr>
          <w:p w14:paraId="4B36D2AD" w14:textId="77777777" w:rsidR="009E7242" w:rsidRPr="00A77834" w:rsidRDefault="009E7242" w:rsidP="006340A9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vAlign w:val="center"/>
          </w:tcPr>
          <w:p w14:paraId="113D0CB8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0" w:type="pct"/>
            <w:vAlign w:val="center"/>
          </w:tcPr>
          <w:p w14:paraId="6E1DA876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29" w:type="pct"/>
          </w:tcPr>
          <w:p w14:paraId="02D4AADC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1" w:type="pct"/>
            <w:vAlign w:val="center"/>
          </w:tcPr>
          <w:p w14:paraId="33AB744B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539927D4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8" w:type="pct"/>
            <w:vAlign w:val="center"/>
          </w:tcPr>
          <w:p w14:paraId="3599E4E8" w14:textId="77777777" w:rsidR="009E7242" w:rsidRPr="00A77834" w:rsidRDefault="009E7242" w:rsidP="006340A9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6BEF598B" w14:textId="77777777" w:rsidR="009E7242" w:rsidRPr="00A77834" w:rsidRDefault="009E7242" w:rsidP="006340A9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9E7242" w:rsidRPr="00A77834" w14:paraId="4D844822" w14:textId="77777777" w:rsidTr="006340A9">
        <w:trPr>
          <w:trHeight w:val="621"/>
        </w:trPr>
        <w:tc>
          <w:tcPr>
            <w:tcW w:w="195" w:type="pct"/>
          </w:tcPr>
          <w:p w14:paraId="51FF5E3A" w14:textId="77777777" w:rsidR="009E7242" w:rsidRPr="00A77834" w:rsidRDefault="009E7242" w:rsidP="006340A9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4CCEAB70" w14:textId="644B6019" w:rsidR="009E7242" w:rsidRPr="00AD6181" w:rsidRDefault="00AD6181" w:rsidP="00E47223">
            <w:pPr>
              <w:rPr>
                <w:rFonts w:ascii="Times New Roman" w:hAnsi="Times New Roman" w:cs="Times New Roman"/>
                <w:bCs/>
              </w:rPr>
            </w:pPr>
            <w:r w:rsidRPr="00AD6181">
              <w:rPr>
                <w:rFonts w:ascii="Times New Roman" w:hAnsi="Times New Roman" w:cs="Times New Roman"/>
                <w:bCs/>
              </w:rPr>
              <w:t>Dostawa sprzętu medycznego wraz z  montażem oraz przeszkoleniem pracowników  z obsługi sprzętu -  APARAT DO POMIARU HEMODYNAMIKI – 1 szt.”</w:t>
            </w:r>
          </w:p>
        </w:tc>
        <w:tc>
          <w:tcPr>
            <w:tcW w:w="260" w:type="pct"/>
          </w:tcPr>
          <w:p w14:paraId="2F93D5C2" w14:textId="70E1D7FD" w:rsidR="009E7242" w:rsidRPr="00A77834" w:rsidRDefault="00AD6181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E7242" w:rsidRPr="00A77834">
              <w:rPr>
                <w:rFonts w:ascii="Times New Roman" w:hAnsi="Times New Roman" w:cs="Times New Roman"/>
              </w:rPr>
              <w:t xml:space="preserve"> </w:t>
            </w:r>
            <w:r w:rsidR="009E7242" w:rsidRPr="006832D9">
              <w:rPr>
                <w:rFonts w:ascii="Times New Roman" w:hAnsi="Times New Roman" w:cs="Times New Roman"/>
              </w:rPr>
              <w:t>szt</w:t>
            </w:r>
            <w:r w:rsidR="009E7242" w:rsidRPr="00A7783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9" w:type="pct"/>
          </w:tcPr>
          <w:p w14:paraId="557C46CC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</w:tcPr>
          <w:p w14:paraId="1BB4D95A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040311FD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08" w:type="pct"/>
          </w:tcPr>
          <w:p w14:paraId="04D5C48C" w14:textId="77777777" w:rsidR="009E7242" w:rsidRPr="00A77834" w:rsidRDefault="009E7242" w:rsidP="00634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17E1D3BA" w14:textId="77777777" w:rsidR="009E7242" w:rsidRPr="00A77834" w:rsidRDefault="009E7242" w:rsidP="006340A9">
            <w:pPr>
              <w:rPr>
                <w:rFonts w:ascii="Times New Roman" w:hAnsi="Times New Roman" w:cs="Times New Roman"/>
              </w:rPr>
            </w:pPr>
          </w:p>
        </w:tc>
      </w:tr>
    </w:tbl>
    <w:p w14:paraId="7C41DD16" w14:textId="57980EB1" w:rsidR="006340A9" w:rsidRDefault="006340A9" w:rsidP="00181E0D">
      <w:pPr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5046"/>
        <w:gridCol w:w="2946"/>
        <w:gridCol w:w="2947"/>
      </w:tblGrid>
      <w:tr w:rsidR="00C312F0" w14:paraId="403F2F53" w14:textId="77777777" w:rsidTr="00181E0D">
        <w:tc>
          <w:tcPr>
            <w:tcW w:w="846" w:type="dxa"/>
          </w:tcPr>
          <w:p w14:paraId="6B620611" w14:textId="57CDDCDA" w:rsidR="00C312F0" w:rsidRDefault="00C312F0" w:rsidP="00181E0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5046" w:type="dxa"/>
          </w:tcPr>
          <w:p w14:paraId="218416DB" w14:textId="77777777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</w:p>
          <w:p w14:paraId="1C0CD6FB" w14:textId="77777777" w:rsidR="00C312F0" w:rsidRPr="00766664" w:rsidRDefault="00C312F0" w:rsidP="00766664">
            <w:pPr>
              <w:rPr>
                <w:rFonts w:ascii="Times New Roman" w:hAnsi="Times New Roman" w:cs="Times New Roman"/>
                <w:b/>
              </w:rPr>
            </w:pPr>
            <w:r w:rsidRPr="00766664">
              <w:rPr>
                <w:rFonts w:ascii="Times New Roman" w:hAnsi="Times New Roman" w:cs="Times New Roman"/>
                <w:b/>
              </w:rPr>
              <w:t>Monitor do pomiarów hemodynamicznych</w:t>
            </w:r>
          </w:p>
          <w:p w14:paraId="2A8FA1A7" w14:textId="77777777" w:rsidR="00C312F0" w:rsidRDefault="00C312F0" w:rsidP="00181E0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46" w:type="dxa"/>
          </w:tcPr>
          <w:p w14:paraId="633957A9" w14:textId="05EC65DD" w:rsidR="00C312F0" w:rsidRDefault="00C312F0" w:rsidP="00181E0D">
            <w:pPr>
              <w:rPr>
                <w:rFonts w:ascii="Times New Roman" w:hAnsi="Times New Roman" w:cs="Times New Roman"/>
                <w:b/>
              </w:rPr>
            </w:pPr>
            <w:r w:rsidRPr="00A464AF">
              <w:rPr>
                <w:rFonts w:ascii="Times New Roman" w:eastAsia="Times New Roman" w:hAnsi="Times New Roman" w:cs="Times New Roman"/>
                <w:b/>
              </w:rPr>
              <w:t>MINIMALNE WYMAGANE PARAMETRY / FUNKCJE / WARUNKI</w:t>
            </w:r>
          </w:p>
        </w:tc>
        <w:tc>
          <w:tcPr>
            <w:tcW w:w="2947" w:type="dxa"/>
          </w:tcPr>
          <w:p w14:paraId="669CF3D5" w14:textId="77777777" w:rsidR="00C312F0" w:rsidRPr="00442279" w:rsidRDefault="00C312F0" w:rsidP="00181E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4422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OFEROWANE WARUNKI</w:t>
            </w:r>
          </w:p>
          <w:p w14:paraId="29E4DFFD" w14:textId="627818D9" w:rsidR="00C312F0" w:rsidRDefault="00C312F0" w:rsidP="00C312F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42279">
              <w:rPr>
                <w:rFonts w:ascii="Times New Roman" w:eastAsia="Times New Roman" w:hAnsi="Times New Roman" w:cs="Times New Roman"/>
                <w:lang w:eastAsia="pl-PL"/>
              </w:rPr>
              <w:t>Wypełnia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442279">
              <w:rPr>
                <w:rFonts w:ascii="Times New Roman" w:eastAsia="Times New Roman" w:hAnsi="Times New Roman" w:cs="Times New Roman"/>
                <w:lang w:eastAsia="pl-PL"/>
              </w:rPr>
              <w:t>Wykonawca (parametry w oferowanym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sprzęcie medycznym)</w:t>
            </w:r>
          </w:p>
        </w:tc>
      </w:tr>
      <w:tr w:rsidR="00C312F0" w14:paraId="5BC3E012" w14:textId="77777777" w:rsidTr="00E5311B">
        <w:tc>
          <w:tcPr>
            <w:tcW w:w="846" w:type="dxa"/>
            <w:shd w:val="clear" w:color="auto" w:fill="auto"/>
          </w:tcPr>
          <w:p w14:paraId="5307550C" w14:textId="2352AEC6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I</w:t>
            </w:r>
          </w:p>
        </w:tc>
        <w:tc>
          <w:tcPr>
            <w:tcW w:w="5046" w:type="dxa"/>
            <w:shd w:val="clear" w:color="auto" w:fill="auto"/>
          </w:tcPr>
          <w:p w14:paraId="5B569BA7" w14:textId="3607976E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Urz</w:t>
            </w:r>
            <w:r>
              <w:rPr>
                <w:rFonts w:ascii="Arial Narrow" w:hAnsi="Arial Narrow"/>
                <w:b/>
              </w:rPr>
              <w:t>ą</w:t>
            </w:r>
            <w:r w:rsidRPr="00DE2D4A">
              <w:rPr>
                <w:rFonts w:ascii="Arial Narrow" w:hAnsi="Arial Narrow"/>
                <w:b/>
              </w:rPr>
              <w:t>dzenie fabrycznie nowe – (nie powystawowe).</w:t>
            </w:r>
          </w:p>
        </w:tc>
        <w:tc>
          <w:tcPr>
            <w:tcW w:w="2946" w:type="dxa"/>
          </w:tcPr>
          <w:p w14:paraId="249E3DE5" w14:textId="04D53F65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12F0"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2947" w:type="dxa"/>
          </w:tcPr>
          <w:p w14:paraId="65B94711" w14:textId="77777777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7E80126D" w14:textId="77777777" w:rsidTr="00E5311B">
        <w:tc>
          <w:tcPr>
            <w:tcW w:w="846" w:type="dxa"/>
            <w:shd w:val="clear" w:color="auto" w:fill="auto"/>
          </w:tcPr>
          <w:p w14:paraId="0477ECAF" w14:textId="5C4924F6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II</w:t>
            </w:r>
          </w:p>
        </w:tc>
        <w:tc>
          <w:tcPr>
            <w:tcW w:w="5046" w:type="dxa"/>
            <w:shd w:val="clear" w:color="auto" w:fill="auto"/>
          </w:tcPr>
          <w:p w14:paraId="07BF9666" w14:textId="7D1BCE93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Parametry</w:t>
            </w:r>
          </w:p>
        </w:tc>
        <w:tc>
          <w:tcPr>
            <w:tcW w:w="2946" w:type="dxa"/>
          </w:tcPr>
          <w:p w14:paraId="5BF96998" w14:textId="77777777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47" w:type="dxa"/>
          </w:tcPr>
          <w:p w14:paraId="0A54E24F" w14:textId="77777777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18EAC2D3" w14:textId="77777777" w:rsidTr="00E5311B">
        <w:tc>
          <w:tcPr>
            <w:tcW w:w="846" w:type="dxa"/>
            <w:shd w:val="clear" w:color="auto" w:fill="auto"/>
          </w:tcPr>
          <w:p w14:paraId="124FEE7D" w14:textId="2ED0DC1C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5046" w:type="dxa"/>
            <w:shd w:val="clear" w:color="auto" w:fill="auto"/>
          </w:tcPr>
          <w:p w14:paraId="1F7CF3E0" w14:textId="1D98D7A5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  <w:bCs/>
              </w:rPr>
              <w:t xml:space="preserve">Urządzenie do oceny stanu hemodynamicznego Pacjenta w oparciu o pomiar parametrów hemodynamicznych metodą </w:t>
            </w:r>
            <w:proofErr w:type="spellStart"/>
            <w:r w:rsidRPr="00DE2D4A">
              <w:rPr>
                <w:rFonts w:ascii="Arial Narrow" w:hAnsi="Arial Narrow"/>
                <w:b/>
                <w:bCs/>
              </w:rPr>
              <w:t>termodylucji</w:t>
            </w:r>
            <w:proofErr w:type="spellEnd"/>
            <w:r w:rsidRPr="00DE2D4A">
              <w:rPr>
                <w:rFonts w:ascii="Arial Narrow" w:hAnsi="Arial Narrow"/>
                <w:b/>
                <w:bCs/>
              </w:rPr>
              <w:t>, analizy krzywej ciśnienia tętniczego krwi metodą inwazyjną oraz saturacji tkankowej</w:t>
            </w:r>
          </w:p>
        </w:tc>
        <w:tc>
          <w:tcPr>
            <w:tcW w:w="2946" w:type="dxa"/>
          </w:tcPr>
          <w:p w14:paraId="17A49046" w14:textId="2E7677EE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12F0"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2947" w:type="dxa"/>
          </w:tcPr>
          <w:p w14:paraId="1F3F943D" w14:textId="77777777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3F401C53" w14:textId="77777777" w:rsidTr="00E5311B">
        <w:tc>
          <w:tcPr>
            <w:tcW w:w="846" w:type="dxa"/>
            <w:shd w:val="clear" w:color="auto" w:fill="auto"/>
          </w:tcPr>
          <w:p w14:paraId="0140D473" w14:textId="0B9594A2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lastRenderedPageBreak/>
              <w:t>2</w:t>
            </w:r>
          </w:p>
        </w:tc>
        <w:tc>
          <w:tcPr>
            <w:tcW w:w="5046" w:type="dxa"/>
            <w:shd w:val="clear" w:color="auto" w:fill="auto"/>
          </w:tcPr>
          <w:p w14:paraId="2F22F14E" w14:textId="0473CD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  <w:bCs/>
              </w:rPr>
              <w:t xml:space="preserve">Urządzenie do oceny stanu pomiaru rzutu serca metodą </w:t>
            </w:r>
            <w:proofErr w:type="spellStart"/>
            <w:r w:rsidRPr="00DE2D4A">
              <w:rPr>
                <w:rFonts w:ascii="Arial Narrow" w:hAnsi="Arial Narrow"/>
                <w:b/>
                <w:bCs/>
              </w:rPr>
              <w:t>termodylucji</w:t>
            </w:r>
            <w:proofErr w:type="spellEnd"/>
            <w:r w:rsidRPr="00DE2D4A">
              <w:rPr>
                <w:rFonts w:ascii="Arial Narrow" w:hAnsi="Arial Narrow"/>
                <w:b/>
                <w:bCs/>
              </w:rPr>
              <w:t xml:space="preserve"> CCO oraz analizy krzywej ciśnienia tętniczego krwi</w:t>
            </w:r>
          </w:p>
        </w:tc>
        <w:tc>
          <w:tcPr>
            <w:tcW w:w="2946" w:type="dxa"/>
          </w:tcPr>
          <w:p w14:paraId="6A9019A6" w14:textId="6A51516C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4FED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3534D241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4A7C59C4" w14:textId="77777777" w:rsidTr="00E5311B">
        <w:tc>
          <w:tcPr>
            <w:tcW w:w="846" w:type="dxa"/>
            <w:shd w:val="clear" w:color="auto" w:fill="auto"/>
          </w:tcPr>
          <w:p w14:paraId="198B64B0" w14:textId="699E1410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5046" w:type="dxa"/>
            <w:shd w:val="clear" w:color="auto" w:fill="auto"/>
          </w:tcPr>
          <w:p w14:paraId="13A260D3" w14:textId="70748EB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 xml:space="preserve">Ocena hemodynamiczna układu krążenia metodą </w:t>
            </w:r>
            <w:proofErr w:type="spellStart"/>
            <w:r w:rsidRPr="00DE2D4A">
              <w:rPr>
                <w:rFonts w:ascii="Arial Narrow" w:hAnsi="Arial Narrow"/>
                <w:b/>
              </w:rPr>
              <w:t>termodylucji</w:t>
            </w:r>
            <w:proofErr w:type="spellEnd"/>
            <w:r w:rsidRPr="00DE2D4A">
              <w:rPr>
                <w:rFonts w:ascii="Arial Narrow" w:hAnsi="Arial Narrow"/>
                <w:b/>
              </w:rPr>
              <w:t xml:space="preserve">: </w:t>
            </w:r>
          </w:p>
        </w:tc>
        <w:tc>
          <w:tcPr>
            <w:tcW w:w="2946" w:type="dxa"/>
          </w:tcPr>
          <w:p w14:paraId="57692A8F" w14:textId="4CAD886E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4FED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78929AB8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45B59AA5" w14:textId="77777777" w:rsidTr="00E5311B">
        <w:tc>
          <w:tcPr>
            <w:tcW w:w="846" w:type="dxa"/>
            <w:shd w:val="clear" w:color="auto" w:fill="auto"/>
          </w:tcPr>
          <w:p w14:paraId="1F8C8A5F" w14:textId="4294DC33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5046" w:type="dxa"/>
            <w:shd w:val="clear" w:color="auto" w:fill="auto"/>
          </w:tcPr>
          <w:p w14:paraId="6DA53401" w14:textId="63D06DF6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·         za pomocą cewnika Swan-</w:t>
            </w:r>
            <w:proofErr w:type="spellStart"/>
            <w:r w:rsidRPr="00DE2D4A">
              <w:rPr>
                <w:rFonts w:ascii="Arial Narrow" w:hAnsi="Arial Narrow"/>
                <w:b/>
              </w:rPr>
              <w:t>Ganza</w:t>
            </w:r>
            <w:proofErr w:type="spellEnd"/>
            <w:r w:rsidRPr="00DE2D4A">
              <w:rPr>
                <w:rFonts w:ascii="Arial Narrow" w:hAnsi="Arial Narrow"/>
                <w:b/>
              </w:rPr>
              <w:t xml:space="preserve">, </w:t>
            </w:r>
          </w:p>
        </w:tc>
        <w:tc>
          <w:tcPr>
            <w:tcW w:w="2946" w:type="dxa"/>
          </w:tcPr>
          <w:p w14:paraId="75C8EDDD" w14:textId="3857D45B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4FED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385A3FE1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6F8EDE21" w14:textId="77777777" w:rsidTr="00E5311B">
        <w:tc>
          <w:tcPr>
            <w:tcW w:w="846" w:type="dxa"/>
            <w:shd w:val="clear" w:color="auto" w:fill="auto"/>
          </w:tcPr>
          <w:p w14:paraId="62FA79CA" w14:textId="4E17639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5046" w:type="dxa"/>
            <w:shd w:val="clear" w:color="auto" w:fill="auto"/>
          </w:tcPr>
          <w:p w14:paraId="3E1F3005" w14:textId="7255516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·         za pomocą cewnika Swan-</w:t>
            </w:r>
            <w:proofErr w:type="spellStart"/>
            <w:r w:rsidRPr="00DE2D4A">
              <w:rPr>
                <w:rFonts w:ascii="Arial Narrow" w:hAnsi="Arial Narrow"/>
                <w:b/>
              </w:rPr>
              <w:t>Ganza</w:t>
            </w:r>
            <w:proofErr w:type="spellEnd"/>
            <w:r w:rsidRPr="00DE2D4A">
              <w:rPr>
                <w:rFonts w:ascii="Arial Narrow" w:hAnsi="Arial Narrow"/>
                <w:b/>
              </w:rPr>
              <w:t xml:space="preserve"> CCO</w:t>
            </w:r>
          </w:p>
        </w:tc>
        <w:tc>
          <w:tcPr>
            <w:tcW w:w="2946" w:type="dxa"/>
          </w:tcPr>
          <w:p w14:paraId="4D821066" w14:textId="1C7A6C38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4FED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11BBF811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6EDCEACD" w14:textId="77777777" w:rsidTr="00E5311B">
        <w:tc>
          <w:tcPr>
            <w:tcW w:w="846" w:type="dxa"/>
            <w:shd w:val="clear" w:color="auto" w:fill="auto"/>
          </w:tcPr>
          <w:p w14:paraId="704DD7AF" w14:textId="4E21C92B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6</w:t>
            </w:r>
          </w:p>
        </w:tc>
        <w:tc>
          <w:tcPr>
            <w:tcW w:w="5046" w:type="dxa"/>
            <w:shd w:val="clear" w:color="auto" w:fill="auto"/>
          </w:tcPr>
          <w:p w14:paraId="75585752" w14:textId="012F5928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Ocena hemodynamiczna układu krążenia metodą analizy krzywej ciśnienia tętniczego krwi:</w:t>
            </w:r>
          </w:p>
        </w:tc>
        <w:tc>
          <w:tcPr>
            <w:tcW w:w="2946" w:type="dxa"/>
          </w:tcPr>
          <w:p w14:paraId="591AE3A4" w14:textId="1F966CEC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4FED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779BF858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6BCB28AD" w14:textId="77777777" w:rsidTr="00E5311B">
        <w:tc>
          <w:tcPr>
            <w:tcW w:w="846" w:type="dxa"/>
            <w:shd w:val="clear" w:color="auto" w:fill="auto"/>
          </w:tcPr>
          <w:p w14:paraId="2C289FA1" w14:textId="107C018A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7</w:t>
            </w:r>
          </w:p>
        </w:tc>
        <w:tc>
          <w:tcPr>
            <w:tcW w:w="5046" w:type="dxa"/>
            <w:shd w:val="clear" w:color="auto" w:fill="auto"/>
          </w:tcPr>
          <w:p w14:paraId="2D809F5C" w14:textId="0053D2D8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·        bez użycia cewnika Swan-</w:t>
            </w:r>
            <w:proofErr w:type="spellStart"/>
            <w:r w:rsidRPr="00DE2D4A">
              <w:rPr>
                <w:rFonts w:ascii="Arial Narrow" w:hAnsi="Arial Narrow"/>
                <w:b/>
              </w:rPr>
              <w:t>Ganza</w:t>
            </w:r>
            <w:proofErr w:type="spellEnd"/>
            <w:r w:rsidRPr="00DE2D4A">
              <w:rPr>
                <w:rFonts w:ascii="Arial Narrow" w:hAnsi="Arial Narrow"/>
                <w:b/>
              </w:rPr>
              <w:t>,</w:t>
            </w:r>
          </w:p>
        </w:tc>
        <w:tc>
          <w:tcPr>
            <w:tcW w:w="2946" w:type="dxa"/>
          </w:tcPr>
          <w:p w14:paraId="3A6E44EB" w14:textId="68DD65A2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4FED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3356C390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005A9ADA" w14:textId="77777777" w:rsidTr="00E5311B">
        <w:tc>
          <w:tcPr>
            <w:tcW w:w="846" w:type="dxa"/>
            <w:shd w:val="clear" w:color="auto" w:fill="auto"/>
          </w:tcPr>
          <w:p w14:paraId="6BE46131" w14:textId="2ACC60EE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8</w:t>
            </w:r>
          </w:p>
        </w:tc>
        <w:tc>
          <w:tcPr>
            <w:tcW w:w="5046" w:type="dxa"/>
            <w:shd w:val="clear" w:color="auto" w:fill="auto"/>
          </w:tcPr>
          <w:p w14:paraId="337187D1" w14:textId="7DAF4BFC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 xml:space="preserve">·        drogą </w:t>
            </w:r>
            <w:proofErr w:type="spellStart"/>
            <w:r w:rsidRPr="00DE2D4A">
              <w:rPr>
                <w:rFonts w:ascii="Arial Narrow" w:hAnsi="Arial Narrow"/>
                <w:b/>
              </w:rPr>
              <w:t>kaniulizacji</w:t>
            </w:r>
            <w:proofErr w:type="spellEnd"/>
            <w:r w:rsidRPr="00DE2D4A">
              <w:rPr>
                <w:rFonts w:ascii="Arial Narrow" w:hAnsi="Arial Narrow"/>
                <w:b/>
              </w:rPr>
              <w:t xml:space="preserve"> jednego dostępu naczyniowego (dostęp tętniczy)</w:t>
            </w:r>
          </w:p>
        </w:tc>
        <w:tc>
          <w:tcPr>
            <w:tcW w:w="2946" w:type="dxa"/>
          </w:tcPr>
          <w:p w14:paraId="25742FE0" w14:textId="1090F822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4FED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755D5AC5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1B20DDBB" w14:textId="77777777" w:rsidTr="00E5311B">
        <w:tc>
          <w:tcPr>
            <w:tcW w:w="846" w:type="dxa"/>
            <w:shd w:val="clear" w:color="auto" w:fill="auto"/>
          </w:tcPr>
          <w:p w14:paraId="2EF35AA3" w14:textId="4902F7FF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9</w:t>
            </w:r>
          </w:p>
        </w:tc>
        <w:tc>
          <w:tcPr>
            <w:tcW w:w="5046" w:type="dxa"/>
            <w:shd w:val="clear" w:color="auto" w:fill="auto"/>
          </w:tcPr>
          <w:p w14:paraId="48E8F6F5" w14:textId="11F0D405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 xml:space="preserve">Ciągły pomiar saturacji żylnej: SCVO2 i SVO2 pomiar saturacji żylnej przy pomocy wkłucia centralnego </w:t>
            </w:r>
            <w:proofErr w:type="spellStart"/>
            <w:r w:rsidRPr="00DE2D4A">
              <w:rPr>
                <w:rFonts w:ascii="Arial Narrow" w:hAnsi="Arial Narrow"/>
                <w:b/>
              </w:rPr>
              <w:t>trójświatłowego</w:t>
            </w:r>
            <w:proofErr w:type="spellEnd"/>
            <w:r w:rsidRPr="00DE2D4A">
              <w:rPr>
                <w:rFonts w:ascii="Arial Narrow" w:hAnsi="Arial Narrow"/>
                <w:b/>
              </w:rPr>
              <w:t xml:space="preserve"> z modułem optycznym i możliwością kalibracji in-vivo i in-vitro, lub cewnika Swan-</w:t>
            </w:r>
            <w:proofErr w:type="spellStart"/>
            <w:r w:rsidRPr="00DE2D4A">
              <w:rPr>
                <w:rFonts w:ascii="Arial Narrow" w:hAnsi="Arial Narrow"/>
                <w:b/>
              </w:rPr>
              <w:t>Ganza</w:t>
            </w:r>
            <w:proofErr w:type="spellEnd"/>
            <w:r w:rsidRPr="00DE2D4A">
              <w:rPr>
                <w:rFonts w:ascii="Arial Narrow" w:hAnsi="Arial Narrow"/>
                <w:b/>
              </w:rPr>
              <w:t xml:space="preserve"> z modułem optycznym</w:t>
            </w:r>
          </w:p>
        </w:tc>
        <w:tc>
          <w:tcPr>
            <w:tcW w:w="2946" w:type="dxa"/>
          </w:tcPr>
          <w:p w14:paraId="2C56F1C4" w14:textId="248BE2A1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4FED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1E85C119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66255AAF" w14:textId="77777777" w:rsidTr="00E5311B">
        <w:tc>
          <w:tcPr>
            <w:tcW w:w="846" w:type="dxa"/>
            <w:shd w:val="clear" w:color="auto" w:fill="auto"/>
          </w:tcPr>
          <w:p w14:paraId="56E7046E" w14:textId="5F028A3F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10</w:t>
            </w:r>
          </w:p>
        </w:tc>
        <w:tc>
          <w:tcPr>
            <w:tcW w:w="5046" w:type="dxa"/>
            <w:shd w:val="clear" w:color="auto" w:fill="auto"/>
          </w:tcPr>
          <w:p w14:paraId="77A1E452" w14:textId="7F7E8932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Ciągły pomiar saturacji tkankowej z wykorzystaniem jednorazowych elektrod NIRS, głębokość penetracji w przypadku czujników dla dorosłych nie mniejsza niż 2,5 cm</w:t>
            </w:r>
          </w:p>
        </w:tc>
        <w:tc>
          <w:tcPr>
            <w:tcW w:w="2946" w:type="dxa"/>
          </w:tcPr>
          <w:p w14:paraId="18C1215E" w14:textId="25820FC2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4FED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4429C520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1245BB19" w14:textId="77777777" w:rsidTr="00E5311B">
        <w:tc>
          <w:tcPr>
            <w:tcW w:w="846" w:type="dxa"/>
            <w:shd w:val="clear" w:color="auto" w:fill="auto"/>
          </w:tcPr>
          <w:p w14:paraId="4214D8AC" w14:textId="34623C19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11</w:t>
            </w:r>
          </w:p>
        </w:tc>
        <w:tc>
          <w:tcPr>
            <w:tcW w:w="5046" w:type="dxa"/>
            <w:shd w:val="clear" w:color="auto" w:fill="auto"/>
          </w:tcPr>
          <w:p w14:paraId="34C903F2" w14:textId="37A86B84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Wymagane parametry monitorowane lub wyliczane:</w:t>
            </w:r>
          </w:p>
        </w:tc>
        <w:tc>
          <w:tcPr>
            <w:tcW w:w="2946" w:type="dxa"/>
          </w:tcPr>
          <w:p w14:paraId="1EA91D01" w14:textId="09A35414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4FED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58CA6AC8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04F15C29" w14:textId="77777777" w:rsidTr="00E5311B">
        <w:tc>
          <w:tcPr>
            <w:tcW w:w="846" w:type="dxa"/>
            <w:shd w:val="clear" w:color="auto" w:fill="auto"/>
          </w:tcPr>
          <w:p w14:paraId="1827574C" w14:textId="5D99F7E8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5046" w:type="dxa"/>
            <w:shd w:val="clear" w:color="auto" w:fill="auto"/>
          </w:tcPr>
          <w:p w14:paraId="384CAE57" w14:textId="76C878B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rzut serca (CO);</w:t>
            </w:r>
          </w:p>
        </w:tc>
        <w:tc>
          <w:tcPr>
            <w:tcW w:w="2946" w:type="dxa"/>
          </w:tcPr>
          <w:p w14:paraId="70C90E21" w14:textId="59DD4B7F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4FED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6C2FEF9D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67CAAC71" w14:textId="77777777" w:rsidTr="00E5311B">
        <w:tc>
          <w:tcPr>
            <w:tcW w:w="846" w:type="dxa"/>
            <w:shd w:val="clear" w:color="auto" w:fill="auto"/>
          </w:tcPr>
          <w:p w14:paraId="565042A1" w14:textId="03CCD55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13</w:t>
            </w:r>
          </w:p>
        </w:tc>
        <w:tc>
          <w:tcPr>
            <w:tcW w:w="5046" w:type="dxa"/>
            <w:shd w:val="clear" w:color="auto" w:fill="auto"/>
          </w:tcPr>
          <w:p w14:paraId="60190363" w14:textId="6421F712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rzut serca indeksowany (CI)</w:t>
            </w:r>
          </w:p>
        </w:tc>
        <w:tc>
          <w:tcPr>
            <w:tcW w:w="2946" w:type="dxa"/>
          </w:tcPr>
          <w:p w14:paraId="3AA3D232" w14:textId="19A624E0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4FED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39C38ADA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5BFC1F86" w14:textId="77777777" w:rsidTr="00E5311B">
        <w:tc>
          <w:tcPr>
            <w:tcW w:w="846" w:type="dxa"/>
            <w:shd w:val="clear" w:color="auto" w:fill="auto"/>
          </w:tcPr>
          <w:p w14:paraId="65465EF7" w14:textId="061066C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14</w:t>
            </w:r>
          </w:p>
        </w:tc>
        <w:tc>
          <w:tcPr>
            <w:tcW w:w="5046" w:type="dxa"/>
            <w:shd w:val="clear" w:color="auto" w:fill="auto"/>
          </w:tcPr>
          <w:p w14:paraId="57B6037E" w14:textId="3E438FB9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rzut serca przerywany (</w:t>
            </w:r>
            <w:proofErr w:type="spellStart"/>
            <w:r w:rsidRPr="00DE2D4A">
              <w:rPr>
                <w:rFonts w:ascii="Arial Narrow" w:hAnsi="Arial Narrow"/>
                <w:b/>
              </w:rPr>
              <w:t>iCO</w:t>
            </w:r>
            <w:proofErr w:type="spellEnd"/>
            <w:r w:rsidRPr="00DE2D4A">
              <w:rPr>
                <w:rFonts w:ascii="Arial Narrow" w:hAnsi="Arial Narrow"/>
                <w:b/>
              </w:rPr>
              <w:t>)</w:t>
            </w:r>
          </w:p>
        </w:tc>
        <w:tc>
          <w:tcPr>
            <w:tcW w:w="2946" w:type="dxa"/>
          </w:tcPr>
          <w:p w14:paraId="7CB0E9D6" w14:textId="15E161C5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4FED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2A07BA9E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712AFEC9" w14:textId="77777777" w:rsidTr="00E5311B">
        <w:tc>
          <w:tcPr>
            <w:tcW w:w="846" w:type="dxa"/>
            <w:shd w:val="clear" w:color="auto" w:fill="auto"/>
          </w:tcPr>
          <w:p w14:paraId="72523842" w14:textId="40ED8539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15</w:t>
            </w:r>
          </w:p>
        </w:tc>
        <w:tc>
          <w:tcPr>
            <w:tcW w:w="5046" w:type="dxa"/>
            <w:shd w:val="clear" w:color="auto" w:fill="auto"/>
          </w:tcPr>
          <w:p w14:paraId="57454159" w14:textId="731CAD73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objętość wyrzutowa (SV);</w:t>
            </w:r>
          </w:p>
        </w:tc>
        <w:tc>
          <w:tcPr>
            <w:tcW w:w="2946" w:type="dxa"/>
          </w:tcPr>
          <w:p w14:paraId="16E8D976" w14:textId="77777777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47" w:type="dxa"/>
          </w:tcPr>
          <w:p w14:paraId="7DEB4D71" w14:textId="77777777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65F13510" w14:textId="77777777" w:rsidTr="00E5311B">
        <w:tc>
          <w:tcPr>
            <w:tcW w:w="846" w:type="dxa"/>
            <w:shd w:val="clear" w:color="auto" w:fill="auto"/>
          </w:tcPr>
          <w:p w14:paraId="197D5C02" w14:textId="2E371B80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lastRenderedPageBreak/>
              <w:t>16</w:t>
            </w:r>
          </w:p>
        </w:tc>
        <w:tc>
          <w:tcPr>
            <w:tcW w:w="5046" w:type="dxa"/>
            <w:shd w:val="clear" w:color="auto" w:fill="auto"/>
          </w:tcPr>
          <w:p w14:paraId="793F7D48" w14:textId="1326C7C2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indeks objętości wyrzutowej (SVI</w:t>
            </w:r>
            <w:r w:rsidRPr="00DE2D4A">
              <w:rPr>
                <w:rFonts w:ascii="Arial Narrow" w:hAnsi="Arial Narrow"/>
                <w:b/>
                <w:u w:val="single"/>
              </w:rPr>
              <w:t>)</w:t>
            </w:r>
          </w:p>
        </w:tc>
        <w:tc>
          <w:tcPr>
            <w:tcW w:w="2946" w:type="dxa"/>
          </w:tcPr>
          <w:p w14:paraId="13B63B14" w14:textId="00D6F409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510534EC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53FD695D" w14:textId="77777777" w:rsidTr="00E5311B">
        <w:tc>
          <w:tcPr>
            <w:tcW w:w="846" w:type="dxa"/>
            <w:shd w:val="clear" w:color="auto" w:fill="auto"/>
          </w:tcPr>
          <w:p w14:paraId="718D8837" w14:textId="51CA112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17</w:t>
            </w:r>
          </w:p>
        </w:tc>
        <w:tc>
          <w:tcPr>
            <w:tcW w:w="5046" w:type="dxa"/>
            <w:shd w:val="clear" w:color="auto" w:fill="auto"/>
          </w:tcPr>
          <w:p w14:paraId="5DAFAB47" w14:textId="5001D1E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systemowy (obwodowy) opór naczyniowy (SVR);</w:t>
            </w:r>
          </w:p>
        </w:tc>
        <w:tc>
          <w:tcPr>
            <w:tcW w:w="2946" w:type="dxa"/>
          </w:tcPr>
          <w:p w14:paraId="374AA207" w14:textId="515CB1F2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4536BB36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56D48201" w14:textId="77777777" w:rsidTr="00E5311B">
        <w:tc>
          <w:tcPr>
            <w:tcW w:w="846" w:type="dxa"/>
            <w:shd w:val="clear" w:color="auto" w:fill="auto"/>
          </w:tcPr>
          <w:p w14:paraId="3BBFEF86" w14:textId="70DF3E1F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18</w:t>
            </w:r>
          </w:p>
        </w:tc>
        <w:tc>
          <w:tcPr>
            <w:tcW w:w="5046" w:type="dxa"/>
            <w:shd w:val="clear" w:color="auto" w:fill="auto"/>
          </w:tcPr>
          <w:p w14:paraId="4D54C03F" w14:textId="3F5F20F9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indeks systemowego oporu naczyniowego (SVRI)</w:t>
            </w:r>
          </w:p>
        </w:tc>
        <w:tc>
          <w:tcPr>
            <w:tcW w:w="2946" w:type="dxa"/>
          </w:tcPr>
          <w:p w14:paraId="475FFF30" w14:textId="6C235EFD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48CDA728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55F04A0B" w14:textId="77777777" w:rsidTr="00E5311B">
        <w:tc>
          <w:tcPr>
            <w:tcW w:w="846" w:type="dxa"/>
            <w:shd w:val="clear" w:color="auto" w:fill="auto"/>
          </w:tcPr>
          <w:p w14:paraId="318C57BA" w14:textId="3F80D815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19</w:t>
            </w:r>
          </w:p>
        </w:tc>
        <w:tc>
          <w:tcPr>
            <w:tcW w:w="5046" w:type="dxa"/>
            <w:shd w:val="clear" w:color="auto" w:fill="auto"/>
          </w:tcPr>
          <w:p w14:paraId="700E3B9B" w14:textId="4CEE7F7C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zmienność objętości wyrzutowej (SVV);</w:t>
            </w:r>
          </w:p>
        </w:tc>
        <w:tc>
          <w:tcPr>
            <w:tcW w:w="2946" w:type="dxa"/>
          </w:tcPr>
          <w:p w14:paraId="6D119C9F" w14:textId="23FFFF8E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57B26E94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3502C23D" w14:textId="77777777" w:rsidTr="00E5311B">
        <w:tc>
          <w:tcPr>
            <w:tcW w:w="846" w:type="dxa"/>
            <w:shd w:val="clear" w:color="auto" w:fill="auto"/>
          </w:tcPr>
          <w:p w14:paraId="656938CF" w14:textId="749D9A6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20</w:t>
            </w:r>
          </w:p>
        </w:tc>
        <w:tc>
          <w:tcPr>
            <w:tcW w:w="5046" w:type="dxa"/>
            <w:shd w:val="clear" w:color="auto" w:fill="auto"/>
          </w:tcPr>
          <w:p w14:paraId="10B53ED6" w14:textId="5D3A3464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 xml:space="preserve">- </w:t>
            </w:r>
            <w:proofErr w:type="spellStart"/>
            <w:r w:rsidRPr="00DE2D4A">
              <w:rPr>
                <w:rFonts w:ascii="Arial Narrow" w:hAnsi="Arial Narrow"/>
                <w:b/>
              </w:rPr>
              <w:t>objętrość</w:t>
            </w:r>
            <w:proofErr w:type="spellEnd"/>
            <w:r w:rsidRPr="00DE2D4A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DE2D4A">
              <w:rPr>
                <w:rFonts w:ascii="Arial Narrow" w:hAnsi="Arial Narrow"/>
                <w:b/>
              </w:rPr>
              <w:t>późnorozkurczowa</w:t>
            </w:r>
            <w:proofErr w:type="spellEnd"/>
            <w:r w:rsidRPr="00DE2D4A">
              <w:rPr>
                <w:rFonts w:ascii="Arial Narrow" w:hAnsi="Arial Narrow"/>
                <w:b/>
              </w:rPr>
              <w:t xml:space="preserve"> prawej komory (EDV)</w:t>
            </w:r>
          </w:p>
        </w:tc>
        <w:tc>
          <w:tcPr>
            <w:tcW w:w="2946" w:type="dxa"/>
          </w:tcPr>
          <w:p w14:paraId="14383EDC" w14:textId="2EFBB6F0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4CD02A5B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7B018493" w14:textId="77777777" w:rsidTr="00E5311B">
        <w:tc>
          <w:tcPr>
            <w:tcW w:w="846" w:type="dxa"/>
            <w:shd w:val="clear" w:color="auto" w:fill="auto"/>
          </w:tcPr>
          <w:p w14:paraId="45E26F88" w14:textId="1CF8D6A4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21</w:t>
            </w:r>
          </w:p>
        </w:tc>
        <w:tc>
          <w:tcPr>
            <w:tcW w:w="5046" w:type="dxa"/>
            <w:shd w:val="clear" w:color="auto" w:fill="auto"/>
          </w:tcPr>
          <w:p w14:paraId="1ADD984A" w14:textId="114F242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 xml:space="preserve"> - frakcja wyrzutowa prawej komory (RVEF)</w:t>
            </w:r>
          </w:p>
        </w:tc>
        <w:tc>
          <w:tcPr>
            <w:tcW w:w="2946" w:type="dxa"/>
          </w:tcPr>
          <w:p w14:paraId="4228073B" w14:textId="09A5F28D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14AA2CB1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32D3E65F" w14:textId="77777777" w:rsidTr="00E5311B">
        <w:tc>
          <w:tcPr>
            <w:tcW w:w="846" w:type="dxa"/>
            <w:shd w:val="clear" w:color="auto" w:fill="auto"/>
          </w:tcPr>
          <w:p w14:paraId="0447EECC" w14:textId="242AA61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22</w:t>
            </w:r>
          </w:p>
        </w:tc>
        <w:tc>
          <w:tcPr>
            <w:tcW w:w="5046" w:type="dxa"/>
            <w:shd w:val="clear" w:color="auto" w:fill="auto"/>
          </w:tcPr>
          <w:p w14:paraId="56A0B118" w14:textId="1332837F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 xml:space="preserve">- RVEDVI - Wskaźnik objętości </w:t>
            </w:r>
            <w:proofErr w:type="spellStart"/>
            <w:r w:rsidRPr="00DE2D4A">
              <w:rPr>
                <w:rFonts w:ascii="Arial Narrow" w:hAnsi="Arial Narrow"/>
                <w:b/>
              </w:rPr>
              <w:t>późnorozkurczowej</w:t>
            </w:r>
            <w:proofErr w:type="spellEnd"/>
            <w:r w:rsidRPr="00DE2D4A">
              <w:rPr>
                <w:rFonts w:ascii="Arial Narrow" w:hAnsi="Arial Narrow"/>
                <w:b/>
              </w:rPr>
              <w:t xml:space="preserve"> prawej komory</w:t>
            </w:r>
          </w:p>
        </w:tc>
        <w:tc>
          <w:tcPr>
            <w:tcW w:w="2946" w:type="dxa"/>
          </w:tcPr>
          <w:p w14:paraId="6DB6CD44" w14:textId="3E56CB23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18EDAAF5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5AF10750" w14:textId="77777777" w:rsidTr="00E5311B">
        <w:tc>
          <w:tcPr>
            <w:tcW w:w="846" w:type="dxa"/>
            <w:shd w:val="clear" w:color="auto" w:fill="auto"/>
          </w:tcPr>
          <w:p w14:paraId="063999DD" w14:textId="13EB4906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23</w:t>
            </w:r>
          </w:p>
        </w:tc>
        <w:tc>
          <w:tcPr>
            <w:tcW w:w="5046" w:type="dxa"/>
            <w:shd w:val="clear" w:color="auto" w:fill="auto"/>
          </w:tcPr>
          <w:p w14:paraId="6AD07478" w14:textId="445D3343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saturacja krwi żylnej (ScvO2 i Svo2);</w:t>
            </w:r>
          </w:p>
        </w:tc>
        <w:tc>
          <w:tcPr>
            <w:tcW w:w="2946" w:type="dxa"/>
          </w:tcPr>
          <w:p w14:paraId="5A1120D8" w14:textId="22BBD53C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5E25E50B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5380F30D" w14:textId="77777777" w:rsidTr="002C63F1">
        <w:tc>
          <w:tcPr>
            <w:tcW w:w="846" w:type="dxa"/>
            <w:shd w:val="clear" w:color="auto" w:fill="auto"/>
          </w:tcPr>
          <w:p w14:paraId="6BB26FB0" w14:textId="46846123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24</w:t>
            </w:r>
          </w:p>
        </w:tc>
        <w:tc>
          <w:tcPr>
            <w:tcW w:w="5046" w:type="dxa"/>
            <w:shd w:val="clear" w:color="auto" w:fill="auto"/>
          </w:tcPr>
          <w:p w14:paraId="377394CB" w14:textId="5F8F66B6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_ ośrodkowe ciśnienie żylne (OCŻ)</w:t>
            </w:r>
          </w:p>
        </w:tc>
        <w:tc>
          <w:tcPr>
            <w:tcW w:w="2946" w:type="dxa"/>
          </w:tcPr>
          <w:p w14:paraId="68201246" w14:textId="1AF01845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316A022A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4AFEBA11" w14:textId="77777777" w:rsidTr="002C63F1">
        <w:tc>
          <w:tcPr>
            <w:tcW w:w="846" w:type="dxa"/>
            <w:shd w:val="clear" w:color="auto" w:fill="auto"/>
          </w:tcPr>
          <w:p w14:paraId="14F912F7" w14:textId="1B643CA5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25</w:t>
            </w:r>
          </w:p>
        </w:tc>
        <w:tc>
          <w:tcPr>
            <w:tcW w:w="5046" w:type="dxa"/>
            <w:shd w:val="clear" w:color="auto" w:fill="auto"/>
          </w:tcPr>
          <w:p w14:paraId="32594E05" w14:textId="6F774853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ciśnienie średnie tętnicze (MAP)</w:t>
            </w:r>
          </w:p>
        </w:tc>
        <w:tc>
          <w:tcPr>
            <w:tcW w:w="2946" w:type="dxa"/>
          </w:tcPr>
          <w:p w14:paraId="2712E9D0" w14:textId="07DFCEC2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1BA09BCB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04FBBC55" w14:textId="77777777" w:rsidTr="002C63F1">
        <w:tc>
          <w:tcPr>
            <w:tcW w:w="846" w:type="dxa"/>
            <w:shd w:val="clear" w:color="auto" w:fill="auto"/>
          </w:tcPr>
          <w:p w14:paraId="2934F039" w14:textId="4E1E95CE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26</w:t>
            </w:r>
          </w:p>
        </w:tc>
        <w:tc>
          <w:tcPr>
            <w:tcW w:w="5046" w:type="dxa"/>
            <w:shd w:val="clear" w:color="auto" w:fill="auto"/>
          </w:tcPr>
          <w:p w14:paraId="6EF09093" w14:textId="0665F135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częstość akcji serca (HR)</w:t>
            </w:r>
          </w:p>
        </w:tc>
        <w:tc>
          <w:tcPr>
            <w:tcW w:w="2946" w:type="dxa"/>
          </w:tcPr>
          <w:p w14:paraId="1DE73763" w14:textId="300BAB17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4A449EAA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4F2C7086" w14:textId="77777777" w:rsidTr="002C63F1">
        <w:tc>
          <w:tcPr>
            <w:tcW w:w="846" w:type="dxa"/>
            <w:shd w:val="clear" w:color="auto" w:fill="auto"/>
          </w:tcPr>
          <w:p w14:paraId="7C2C94BA" w14:textId="0FE32AEA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27</w:t>
            </w:r>
          </w:p>
        </w:tc>
        <w:tc>
          <w:tcPr>
            <w:tcW w:w="5046" w:type="dxa"/>
            <w:shd w:val="clear" w:color="auto" w:fill="auto"/>
          </w:tcPr>
          <w:p w14:paraId="5552A63F" w14:textId="18F21060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Wyświetlanie danych w postaci ekranów:</w:t>
            </w:r>
          </w:p>
        </w:tc>
        <w:tc>
          <w:tcPr>
            <w:tcW w:w="2946" w:type="dxa"/>
          </w:tcPr>
          <w:p w14:paraId="5EC09055" w14:textId="4AAF5730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1C6DF7BB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28C482A8" w14:textId="77777777" w:rsidTr="002C63F1">
        <w:tc>
          <w:tcPr>
            <w:tcW w:w="846" w:type="dxa"/>
            <w:shd w:val="clear" w:color="auto" w:fill="auto"/>
          </w:tcPr>
          <w:p w14:paraId="76E59B38" w14:textId="196B03A6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28</w:t>
            </w:r>
          </w:p>
        </w:tc>
        <w:tc>
          <w:tcPr>
            <w:tcW w:w="5046" w:type="dxa"/>
            <w:shd w:val="clear" w:color="auto" w:fill="auto"/>
          </w:tcPr>
          <w:p w14:paraId="6180ABAD" w14:textId="3977C9C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kokpit;</w:t>
            </w:r>
          </w:p>
        </w:tc>
        <w:tc>
          <w:tcPr>
            <w:tcW w:w="2946" w:type="dxa"/>
          </w:tcPr>
          <w:p w14:paraId="20470143" w14:textId="43B0B15E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5F083304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67A2EA90" w14:textId="77777777" w:rsidTr="002C63F1">
        <w:tc>
          <w:tcPr>
            <w:tcW w:w="846" w:type="dxa"/>
            <w:shd w:val="clear" w:color="auto" w:fill="auto"/>
          </w:tcPr>
          <w:p w14:paraId="15D53B2E" w14:textId="438596CA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29</w:t>
            </w:r>
          </w:p>
        </w:tc>
        <w:tc>
          <w:tcPr>
            <w:tcW w:w="5046" w:type="dxa"/>
            <w:shd w:val="clear" w:color="auto" w:fill="auto"/>
          </w:tcPr>
          <w:p w14:paraId="304C0683" w14:textId="76F68AA3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interwencyjny;</w:t>
            </w:r>
          </w:p>
        </w:tc>
        <w:tc>
          <w:tcPr>
            <w:tcW w:w="2946" w:type="dxa"/>
          </w:tcPr>
          <w:p w14:paraId="6FA2AF45" w14:textId="6C913052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4F2AE88B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0A5C6C37" w14:textId="77777777" w:rsidTr="002C63F1">
        <w:tc>
          <w:tcPr>
            <w:tcW w:w="846" w:type="dxa"/>
            <w:shd w:val="clear" w:color="auto" w:fill="auto"/>
          </w:tcPr>
          <w:p w14:paraId="700D8248" w14:textId="6B318573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30</w:t>
            </w:r>
          </w:p>
        </w:tc>
        <w:tc>
          <w:tcPr>
            <w:tcW w:w="5046" w:type="dxa"/>
            <w:shd w:val="clear" w:color="auto" w:fill="auto"/>
          </w:tcPr>
          <w:p w14:paraId="514BFA8B" w14:textId="65D97EE4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fizjologiczny animowany</w:t>
            </w:r>
          </w:p>
        </w:tc>
        <w:tc>
          <w:tcPr>
            <w:tcW w:w="2946" w:type="dxa"/>
          </w:tcPr>
          <w:p w14:paraId="6AD78008" w14:textId="18F7BD71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6857B56E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2CB3A0A8" w14:textId="77777777" w:rsidTr="002C63F1">
        <w:tc>
          <w:tcPr>
            <w:tcW w:w="846" w:type="dxa"/>
            <w:shd w:val="clear" w:color="auto" w:fill="auto"/>
          </w:tcPr>
          <w:p w14:paraId="16B02538" w14:textId="63E5E33E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31</w:t>
            </w:r>
          </w:p>
        </w:tc>
        <w:tc>
          <w:tcPr>
            <w:tcW w:w="5046" w:type="dxa"/>
            <w:shd w:val="clear" w:color="auto" w:fill="auto"/>
          </w:tcPr>
          <w:p w14:paraId="7E908166" w14:textId="054BA961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zależność fizjologiczna- ekran drzewa decyzyjnego;</w:t>
            </w:r>
          </w:p>
        </w:tc>
        <w:tc>
          <w:tcPr>
            <w:tcW w:w="2946" w:type="dxa"/>
          </w:tcPr>
          <w:p w14:paraId="08C11EC5" w14:textId="732B5112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73C610A7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7696B5E6" w14:textId="77777777" w:rsidTr="002C63F1">
        <w:tc>
          <w:tcPr>
            <w:tcW w:w="846" w:type="dxa"/>
            <w:shd w:val="clear" w:color="auto" w:fill="auto"/>
          </w:tcPr>
          <w:p w14:paraId="022707A1" w14:textId="42AD9846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32</w:t>
            </w:r>
          </w:p>
        </w:tc>
        <w:tc>
          <w:tcPr>
            <w:tcW w:w="5046" w:type="dxa"/>
            <w:shd w:val="clear" w:color="auto" w:fill="auto"/>
          </w:tcPr>
          <w:p w14:paraId="2E5C609D" w14:textId="18B78B73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graficzny;</w:t>
            </w:r>
          </w:p>
        </w:tc>
        <w:tc>
          <w:tcPr>
            <w:tcW w:w="2946" w:type="dxa"/>
          </w:tcPr>
          <w:p w14:paraId="28F33890" w14:textId="5FD20225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15CDA868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7B54783B" w14:textId="77777777" w:rsidTr="002C63F1">
        <w:tc>
          <w:tcPr>
            <w:tcW w:w="846" w:type="dxa"/>
            <w:shd w:val="clear" w:color="auto" w:fill="auto"/>
          </w:tcPr>
          <w:p w14:paraId="0ECD31DE" w14:textId="546D8255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33</w:t>
            </w:r>
          </w:p>
        </w:tc>
        <w:tc>
          <w:tcPr>
            <w:tcW w:w="5046" w:type="dxa"/>
            <w:shd w:val="clear" w:color="auto" w:fill="auto"/>
          </w:tcPr>
          <w:p w14:paraId="70FEC81E" w14:textId="082DE2A1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tabelaryczny;</w:t>
            </w:r>
          </w:p>
        </w:tc>
        <w:tc>
          <w:tcPr>
            <w:tcW w:w="2946" w:type="dxa"/>
          </w:tcPr>
          <w:p w14:paraId="7950291F" w14:textId="16A920C8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13467EC7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4A25FCA4" w14:textId="77777777" w:rsidTr="002C63F1">
        <w:tc>
          <w:tcPr>
            <w:tcW w:w="846" w:type="dxa"/>
            <w:shd w:val="clear" w:color="auto" w:fill="auto"/>
          </w:tcPr>
          <w:p w14:paraId="25AF7C9B" w14:textId="635BF59B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34</w:t>
            </w:r>
          </w:p>
        </w:tc>
        <w:tc>
          <w:tcPr>
            <w:tcW w:w="5046" w:type="dxa"/>
            <w:shd w:val="clear" w:color="auto" w:fill="auto"/>
          </w:tcPr>
          <w:p w14:paraId="584C1F8C" w14:textId="59EA2136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  <w:bCs/>
              </w:rPr>
              <w:t>Ekran typu „kokpit”:</w:t>
            </w:r>
          </w:p>
        </w:tc>
        <w:tc>
          <w:tcPr>
            <w:tcW w:w="2946" w:type="dxa"/>
          </w:tcPr>
          <w:p w14:paraId="7B632482" w14:textId="715B5C3D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257C8996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15DDD1FC" w14:textId="77777777" w:rsidTr="002C63F1">
        <w:tc>
          <w:tcPr>
            <w:tcW w:w="846" w:type="dxa"/>
            <w:shd w:val="clear" w:color="auto" w:fill="auto"/>
          </w:tcPr>
          <w:p w14:paraId="3206C952" w14:textId="0608EFA9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35</w:t>
            </w:r>
          </w:p>
        </w:tc>
        <w:tc>
          <w:tcPr>
            <w:tcW w:w="5046" w:type="dxa"/>
            <w:shd w:val="clear" w:color="auto" w:fill="auto"/>
          </w:tcPr>
          <w:p w14:paraId="49660CFB" w14:textId="1FDECE1C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definiowany i wizualizowany kolorem przez Użytkownika zakres celów terapii i alarmów;</w:t>
            </w:r>
          </w:p>
        </w:tc>
        <w:tc>
          <w:tcPr>
            <w:tcW w:w="2946" w:type="dxa"/>
          </w:tcPr>
          <w:p w14:paraId="6B0CC9E1" w14:textId="58EE8A38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1D91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64A9AEA1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300CE580" w14:textId="77777777" w:rsidTr="002C63F1">
        <w:tc>
          <w:tcPr>
            <w:tcW w:w="846" w:type="dxa"/>
            <w:shd w:val="clear" w:color="auto" w:fill="auto"/>
          </w:tcPr>
          <w:p w14:paraId="37033C53" w14:textId="4195C5F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lastRenderedPageBreak/>
              <w:t>36</w:t>
            </w:r>
          </w:p>
        </w:tc>
        <w:tc>
          <w:tcPr>
            <w:tcW w:w="5046" w:type="dxa"/>
            <w:shd w:val="clear" w:color="auto" w:fill="auto"/>
          </w:tcPr>
          <w:p w14:paraId="122DFC4B" w14:textId="29D94F22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dynamiczny wskaźnik stanu mierzonej wielkości w postaci strzałki;</w:t>
            </w:r>
          </w:p>
        </w:tc>
        <w:tc>
          <w:tcPr>
            <w:tcW w:w="2946" w:type="dxa"/>
          </w:tcPr>
          <w:p w14:paraId="09348F4F" w14:textId="3A811213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DC5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406A76CE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5C55DCBE" w14:textId="77777777" w:rsidTr="002C63F1">
        <w:tc>
          <w:tcPr>
            <w:tcW w:w="846" w:type="dxa"/>
            <w:shd w:val="clear" w:color="auto" w:fill="auto"/>
          </w:tcPr>
          <w:p w14:paraId="12303069" w14:textId="10BD8520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37</w:t>
            </w:r>
          </w:p>
        </w:tc>
        <w:tc>
          <w:tcPr>
            <w:tcW w:w="5046" w:type="dxa"/>
            <w:shd w:val="clear" w:color="auto" w:fill="auto"/>
          </w:tcPr>
          <w:p w14:paraId="5DBDE2EA" w14:textId="51A8D1D3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duże wartości cyfrowe mierzonych parametrów;</w:t>
            </w:r>
          </w:p>
        </w:tc>
        <w:tc>
          <w:tcPr>
            <w:tcW w:w="2946" w:type="dxa"/>
          </w:tcPr>
          <w:p w14:paraId="58B722BE" w14:textId="049F41B1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DC5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04BCB6E8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1BCBD520" w14:textId="77777777" w:rsidTr="002C63F1">
        <w:tc>
          <w:tcPr>
            <w:tcW w:w="846" w:type="dxa"/>
            <w:shd w:val="clear" w:color="auto" w:fill="auto"/>
          </w:tcPr>
          <w:p w14:paraId="316833A3" w14:textId="54866424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38</w:t>
            </w:r>
          </w:p>
        </w:tc>
        <w:tc>
          <w:tcPr>
            <w:tcW w:w="5046" w:type="dxa"/>
            <w:shd w:val="clear" w:color="auto" w:fill="auto"/>
          </w:tcPr>
          <w:p w14:paraId="0591D45A" w14:textId="42BCA6C6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procentowy wskaźnik zmian mierzonego parametru w założonym przedziale czasowym;</w:t>
            </w:r>
          </w:p>
        </w:tc>
        <w:tc>
          <w:tcPr>
            <w:tcW w:w="2946" w:type="dxa"/>
          </w:tcPr>
          <w:p w14:paraId="468C35E5" w14:textId="6CA7CE28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DC5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0BFC6AAF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3C682A92" w14:textId="77777777" w:rsidTr="002C63F1">
        <w:tc>
          <w:tcPr>
            <w:tcW w:w="846" w:type="dxa"/>
            <w:shd w:val="clear" w:color="auto" w:fill="auto"/>
          </w:tcPr>
          <w:p w14:paraId="12657C07" w14:textId="5A56D0C5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39</w:t>
            </w:r>
          </w:p>
        </w:tc>
        <w:tc>
          <w:tcPr>
            <w:tcW w:w="5046" w:type="dxa"/>
            <w:shd w:val="clear" w:color="auto" w:fill="auto"/>
          </w:tcPr>
          <w:p w14:paraId="5A53C546" w14:textId="4F940369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możliwość wizualizacji 1, 2, 3 lub 4 wartości jednocześnie</w:t>
            </w:r>
          </w:p>
        </w:tc>
        <w:tc>
          <w:tcPr>
            <w:tcW w:w="2946" w:type="dxa"/>
          </w:tcPr>
          <w:p w14:paraId="5AC3F920" w14:textId="7C9CD0D5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DC5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2B3933A4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42B723AB" w14:textId="77777777" w:rsidTr="002C63F1">
        <w:tc>
          <w:tcPr>
            <w:tcW w:w="846" w:type="dxa"/>
            <w:shd w:val="clear" w:color="auto" w:fill="auto"/>
          </w:tcPr>
          <w:p w14:paraId="77ADB724" w14:textId="7C53B7EB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40</w:t>
            </w:r>
          </w:p>
        </w:tc>
        <w:tc>
          <w:tcPr>
            <w:tcW w:w="5046" w:type="dxa"/>
            <w:shd w:val="clear" w:color="auto" w:fill="auto"/>
          </w:tcPr>
          <w:p w14:paraId="5E57CFDF" w14:textId="32C3BE5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  <w:bCs/>
              </w:rPr>
              <w:t>Ekran interwencyjny:</w:t>
            </w:r>
          </w:p>
        </w:tc>
        <w:tc>
          <w:tcPr>
            <w:tcW w:w="2946" w:type="dxa"/>
          </w:tcPr>
          <w:p w14:paraId="69CE7826" w14:textId="270488C5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DC5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30E4375A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6BEA879E" w14:textId="77777777" w:rsidTr="002C63F1">
        <w:tc>
          <w:tcPr>
            <w:tcW w:w="846" w:type="dxa"/>
            <w:shd w:val="clear" w:color="auto" w:fill="auto"/>
          </w:tcPr>
          <w:p w14:paraId="7CF1E27B" w14:textId="5A3497B0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41</w:t>
            </w:r>
          </w:p>
        </w:tc>
        <w:tc>
          <w:tcPr>
            <w:tcW w:w="5046" w:type="dxa"/>
            <w:shd w:val="clear" w:color="auto" w:fill="auto"/>
          </w:tcPr>
          <w:p w14:paraId="668A7780" w14:textId="2EAC2C15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możliwość wizualizacji trzech wartości w postaci trendu graficznego, wartości cyfrowych, procentowej zmiany od chwili podjęcia interwencji oraz stanu mierzonego parametru określonego kolorem.</w:t>
            </w:r>
          </w:p>
        </w:tc>
        <w:tc>
          <w:tcPr>
            <w:tcW w:w="2946" w:type="dxa"/>
          </w:tcPr>
          <w:p w14:paraId="69175C37" w14:textId="73FFBE1D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DC5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40398757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6D9A4C9F" w14:textId="77777777" w:rsidTr="002C63F1">
        <w:tc>
          <w:tcPr>
            <w:tcW w:w="846" w:type="dxa"/>
            <w:shd w:val="clear" w:color="auto" w:fill="auto"/>
          </w:tcPr>
          <w:p w14:paraId="6D8A929A" w14:textId="1E23DFBF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42</w:t>
            </w:r>
          </w:p>
        </w:tc>
        <w:tc>
          <w:tcPr>
            <w:tcW w:w="5046" w:type="dxa"/>
            <w:shd w:val="clear" w:color="auto" w:fill="auto"/>
          </w:tcPr>
          <w:p w14:paraId="7826FD40" w14:textId="614B6C1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  <w:bCs/>
              </w:rPr>
              <w:t>Ekran fizjologiczny animowany:</w:t>
            </w:r>
          </w:p>
        </w:tc>
        <w:tc>
          <w:tcPr>
            <w:tcW w:w="2946" w:type="dxa"/>
          </w:tcPr>
          <w:p w14:paraId="0ACE8241" w14:textId="352D427E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DC5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2F67B0C9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4D6F33FE" w14:textId="77777777" w:rsidTr="002C63F1">
        <w:tc>
          <w:tcPr>
            <w:tcW w:w="846" w:type="dxa"/>
            <w:shd w:val="clear" w:color="auto" w:fill="auto"/>
          </w:tcPr>
          <w:p w14:paraId="0C75CCF1" w14:textId="257F8A8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43</w:t>
            </w:r>
          </w:p>
        </w:tc>
        <w:tc>
          <w:tcPr>
            <w:tcW w:w="5046" w:type="dxa"/>
            <w:shd w:val="clear" w:color="auto" w:fill="auto"/>
          </w:tcPr>
          <w:p w14:paraId="1E43DF8B" w14:textId="28F2F9EC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 xml:space="preserve">- możliwość jednoczasowej wizualizacji cyfrowej i w postaci animacji indeksu tętna (HR), indeksu systemowego oporu </w:t>
            </w:r>
            <w:proofErr w:type="spellStart"/>
            <w:r w:rsidRPr="00DE2D4A">
              <w:rPr>
                <w:rFonts w:ascii="Arial Narrow" w:hAnsi="Arial Narrow"/>
                <w:b/>
              </w:rPr>
              <w:t>obowdowego</w:t>
            </w:r>
            <w:proofErr w:type="spellEnd"/>
            <w:r w:rsidRPr="00DE2D4A">
              <w:rPr>
                <w:rFonts w:ascii="Arial Narrow" w:hAnsi="Arial Narrow"/>
                <w:b/>
              </w:rPr>
              <w:t xml:space="preserve"> (SVRI) oraz zmienności objętości wyrzutowej (SVV);</w:t>
            </w:r>
          </w:p>
        </w:tc>
        <w:tc>
          <w:tcPr>
            <w:tcW w:w="2946" w:type="dxa"/>
          </w:tcPr>
          <w:p w14:paraId="2CE38E7F" w14:textId="245C9B3D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DC5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30DE5E0D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5EB76482" w14:textId="77777777" w:rsidTr="002C63F1">
        <w:tc>
          <w:tcPr>
            <w:tcW w:w="846" w:type="dxa"/>
            <w:shd w:val="clear" w:color="auto" w:fill="auto"/>
          </w:tcPr>
          <w:p w14:paraId="3026FD66" w14:textId="0C6A9D24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44</w:t>
            </w:r>
          </w:p>
        </w:tc>
        <w:tc>
          <w:tcPr>
            <w:tcW w:w="5046" w:type="dxa"/>
            <w:shd w:val="clear" w:color="auto" w:fill="auto"/>
          </w:tcPr>
          <w:p w14:paraId="62D402C0" w14:textId="711B2FB6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możliwość jednoczasowego wyświetlania wartości saturacji żylnej (ScvO2, SvO2);</w:t>
            </w:r>
          </w:p>
        </w:tc>
        <w:tc>
          <w:tcPr>
            <w:tcW w:w="2946" w:type="dxa"/>
          </w:tcPr>
          <w:p w14:paraId="7A7A71A3" w14:textId="0FBC473C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DC5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46667E03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37331F3E" w14:textId="77777777" w:rsidTr="002C63F1">
        <w:tc>
          <w:tcPr>
            <w:tcW w:w="846" w:type="dxa"/>
            <w:shd w:val="clear" w:color="auto" w:fill="auto"/>
          </w:tcPr>
          <w:p w14:paraId="67D012EA" w14:textId="3B025DD1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45</w:t>
            </w:r>
          </w:p>
        </w:tc>
        <w:tc>
          <w:tcPr>
            <w:tcW w:w="5046" w:type="dxa"/>
            <w:shd w:val="clear" w:color="auto" w:fill="auto"/>
          </w:tcPr>
          <w:p w14:paraId="34728183" w14:textId="64D5E8C6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dodatkowe oznaczenie statusu wyświetlanych parametrów przy pomocy kolorowych wskaźników (zielony, żółty, czerwony) – powiązanych z zakresami alarmów</w:t>
            </w:r>
          </w:p>
        </w:tc>
        <w:tc>
          <w:tcPr>
            <w:tcW w:w="2946" w:type="dxa"/>
          </w:tcPr>
          <w:p w14:paraId="27DF501D" w14:textId="450574A1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DC5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3D1133FD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55553095" w14:textId="77777777" w:rsidTr="002C63F1">
        <w:tc>
          <w:tcPr>
            <w:tcW w:w="846" w:type="dxa"/>
            <w:shd w:val="clear" w:color="auto" w:fill="auto"/>
          </w:tcPr>
          <w:p w14:paraId="6E8C3ACA" w14:textId="7D4FE990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46</w:t>
            </w:r>
          </w:p>
        </w:tc>
        <w:tc>
          <w:tcPr>
            <w:tcW w:w="5046" w:type="dxa"/>
            <w:shd w:val="clear" w:color="auto" w:fill="auto"/>
          </w:tcPr>
          <w:p w14:paraId="14B84B73" w14:textId="7DC04041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  <w:bCs/>
              </w:rPr>
              <w:t>Ekran zależność fizjologiczna- ekran drzewa decyzyjnego:</w:t>
            </w:r>
          </w:p>
        </w:tc>
        <w:tc>
          <w:tcPr>
            <w:tcW w:w="2946" w:type="dxa"/>
          </w:tcPr>
          <w:p w14:paraId="7D333C30" w14:textId="7D58284A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DC5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3198ED3B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49C94982" w14:textId="77777777" w:rsidTr="002C63F1">
        <w:tc>
          <w:tcPr>
            <w:tcW w:w="846" w:type="dxa"/>
            <w:shd w:val="clear" w:color="auto" w:fill="auto"/>
          </w:tcPr>
          <w:p w14:paraId="2305D085" w14:textId="536E030F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47</w:t>
            </w:r>
          </w:p>
        </w:tc>
        <w:tc>
          <w:tcPr>
            <w:tcW w:w="5046" w:type="dxa"/>
            <w:shd w:val="clear" w:color="auto" w:fill="auto"/>
          </w:tcPr>
          <w:p w14:paraId="311D3983" w14:textId="3E78439F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 xml:space="preserve">- wyświetlanie powiązanych ze sobą parametrów hemodynamicznych związanych z obciążeniem </w:t>
            </w:r>
            <w:r w:rsidRPr="00DE2D4A">
              <w:rPr>
                <w:rFonts w:ascii="Arial Narrow" w:hAnsi="Arial Narrow"/>
                <w:b/>
              </w:rPr>
              <w:lastRenderedPageBreak/>
              <w:t>wstępnym, obciążeniem następczym, kurczliwością oraz saturacją żylną;</w:t>
            </w:r>
          </w:p>
        </w:tc>
        <w:tc>
          <w:tcPr>
            <w:tcW w:w="2946" w:type="dxa"/>
          </w:tcPr>
          <w:p w14:paraId="49341D19" w14:textId="3A0E9CFD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7DC5">
              <w:rPr>
                <w:rFonts w:ascii="Arial Narrow" w:hAnsi="Arial Narrow"/>
                <w:b/>
              </w:rPr>
              <w:lastRenderedPageBreak/>
              <w:t>Tak</w:t>
            </w:r>
          </w:p>
        </w:tc>
        <w:tc>
          <w:tcPr>
            <w:tcW w:w="2947" w:type="dxa"/>
          </w:tcPr>
          <w:p w14:paraId="6F4D1EFF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6386FAAE" w14:textId="77777777" w:rsidTr="002C63F1">
        <w:tc>
          <w:tcPr>
            <w:tcW w:w="846" w:type="dxa"/>
            <w:shd w:val="clear" w:color="auto" w:fill="auto"/>
          </w:tcPr>
          <w:p w14:paraId="1691A0D0" w14:textId="26C6F731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48</w:t>
            </w:r>
          </w:p>
        </w:tc>
        <w:tc>
          <w:tcPr>
            <w:tcW w:w="5046" w:type="dxa"/>
            <w:shd w:val="clear" w:color="auto" w:fill="auto"/>
          </w:tcPr>
          <w:p w14:paraId="6BD30B06" w14:textId="3A05D0C4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parametry wyświetlane w postaci cyfrowej</w:t>
            </w:r>
          </w:p>
        </w:tc>
        <w:tc>
          <w:tcPr>
            <w:tcW w:w="2946" w:type="dxa"/>
          </w:tcPr>
          <w:p w14:paraId="1A5ADF9D" w14:textId="310FC820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E2FB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2B415C62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798F5A05" w14:textId="77777777" w:rsidTr="002C63F1">
        <w:tc>
          <w:tcPr>
            <w:tcW w:w="846" w:type="dxa"/>
            <w:shd w:val="clear" w:color="auto" w:fill="auto"/>
          </w:tcPr>
          <w:p w14:paraId="1E2EA388" w14:textId="0C26D15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49</w:t>
            </w:r>
          </w:p>
        </w:tc>
        <w:tc>
          <w:tcPr>
            <w:tcW w:w="5046" w:type="dxa"/>
            <w:shd w:val="clear" w:color="auto" w:fill="auto"/>
          </w:tcPr>
          <w:p w14:paraId="7E445DF0" w14:textId="483A8E50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dodatkowe oznaczenie statusu wyświetlanych parametrów przy pomocy kolorowych wskaźników (zielony, żółty, czerwony) – powiązanych z zakresami alarmów</w:t>
            </w:r>
          </w:p>
        </w:tc>
        <w:tc>
          <w:tcPr>
            <w:tcW w:w="2946" w:type="dxa"/>
          </w:tcPr>
          <w:p w14:paraId="1FD4AF9C" w14:textId="457D4F6A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E2FB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3D61AB0B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0D4E5971" w14:textId="77777777" w:rsidTr="002C63F1">
        <w:tc>
          <w:tcPr>
            <w:tcW w:w="846" w:type="dxa"/>
            <w:shd w:val="clear" w:color="auto" w:fill="auto"/>
          </w:tcPr>
          <w:p w14:paraId="4F8ACB6B" w14:textId="09726F61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50</w:t>
            </w:r>
          </w:p>
        </w:tc>
        <w:tc>
          <w:tcPr>
            <w:tcW w:w="5046" w:type="dxa"/>
            <w:shd w:val="clear" w:color="auto" w:fill="auto"/>
          </w:tcPr>
          <w:p w14:paraId="1AAAA157" w14:textId="06278753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  <w:bCs/>
              </w:rPr>
              <w:t>Ekran trendów graficznych:</w:t>
            </w:r>
          </w:p>
        </w:tc>
        <w:tc>
          <w:tcPr>
            <w:tcW w:w="2946" w:type="dxa"/>
          </w:tcPr>
          <w:p w14:paraId="1EFC3570" w14:textId="735C5C89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E2FB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4C9AD152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3711F31C" w14:textId="77777777" w:rsidTr="002C63F1">
        <w:tc>
          <w:tcPr>
            <w:tcW w:w="846" w:type="dxa"/>
            <w:shd w:val="clear" w:color="auto" w:fill="auto"/>
          </w:tcPr>
          <w:p w14:paraId="53095176" w14:textId="357F3FA3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51</w:t>
            </w:r>
          </w:p>
        </w:tc>
        <w:tc>
          <w:tcPr>
            <w:tcW w:w="5046" w:type="dxa"/>
            <w:shd w:val="clear" w:color="auto" w:fill="auto"/>
          </w:tcPr>
          <w:p w14:paraId="27870B5D" w14:textId="6DB92AC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możliwość wyświetlania 1, 2, 3 lub 4 trendów graficznych monitorowanych parametrów;</w:t>
            </w:r>
          </w:p>
        </w:tc>
        <w:tc>
          <w:tcPr>
            <w:tcW w:w="2946" w:type="dxa"/>
          </w:tcPr>
          <w:p w14:paraId="02CBAD0E" w14:textId="3956FB77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E2FB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5ABAA363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334A805C" w14:textId="77777777" w:rsidTr="002C63F1">
        <w:tc>
          <w:tcPr>
            <w:tcW w:w="846" w:type="dxa"/>
            <w:shd w:val="clear" w:color="auto" w:fill="auto"/>
          </w:tcPr>
          <w:p w14:paraId="5A8B5864" w14:textId="73ABEB76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52</w:t>
            </w:r>
          </w:p>
        </w:tc>
        <w:tc>
          <w:tcPr>
            <w:tcW w:w="5046" w:type="dxa"/>
            <w:shd w:val="clear" w:color="auto" w:fill="auto"/>
          </w:tcPr>
          <w:p w14:paraId="2ECAE672" w14:textId="25750AC6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jednoczasowe wyświetlane w postaci cyfrowej bieżącej wartości;</w:t>
            </w:r>
          </w:p>
        </w:tc>
        <w:tc>
          <w:tcPr>
            <w:tcW w:w="2946" w:type="dxa"/>
          </w:tcPr>
          <w:p w14:paraId="38F76F64" w14:textId="58F9DC45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E2FB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07793037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430A73D8" w14:textId="77777777" w:rsidTr="002C63F1">
        <w:tc>
          <w:tcPr>
            <w:tcW w:w="846" w:type="dxa"/>
            <w:shd w:val="clear" w:color="auto" w:fill="auto"/>
          </w:tcPr>
          <w:p w14:paraId="49DFA9BB" w14:textId="162B1FFB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53</w:t>
            </w:r>
          </w:p>
        </w:tc>
        <w:tc>
          <w:tcPr>
            <w:tcW w:w="5046" w:type="dxa"/>
            <w:shd w:val="clear" w:color="auto" w:fill="auto"/>
          </w:tcPr>
          <w:p w14:paraId="247F47EC" w14:textId="0F768FB1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dodatkowe oznaczenie statusu wyświetlanych parametrów przy pomocy kolorowych wskaźników (zielony, żółty, czerwony) – powiązanych z zakresami alarmów</w:t>
            </w:r>
          </w:p>
        </w:tc>
        <w:tc>
          <w:tcPr>
            <w:tcW w:w="2946" w:type="dxa"/>
          </w:tcPr>
          <w:p w14:paraId="41F6EC2C" w14:textId="04842D52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E2FB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38CF19BE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232FD055" w14:textId="77777777" w:rsidTr="002C63F1">
        <w:tc>
          <w:tcPr>
            <w:tcW w:w="846" w:type="dxa"/>
            <w:shd w:val="clear" w:color="auto" w:fill="auto"/>
          </w:tcPr>
          <w:p w14:paraId="57068ACD" w14:textId="527332EB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54</w:t>
            </w:r>
          </w:p>
        </w:tc>
        <w:tc>
          <w:tcPr>
            <w:tcW w:w="5046" w:type="dxa"/>
            <w:shd w:val="clear" w:color="auto" w:fill="auto"/>
          </w:tcPr>
          <w:p w14:paraId="3107AF11" w14:textId="2875555D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  <w:bCs/>
              </w:rPr>
              <w:t>Ekran trendów tabelarycznych:</w:t>
            </w:r>
          </w:p>
        </w:tc>
        <w:tc>
          <w:tcPr>
            <w:tcW w:w="2946" w:type="dxa"/>
          </w:tcPr>
          <w:p w14:paraId="0ED3FBCA" w14:textId="77777777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47" w:type="dxa"/>
          </w:tcPr>
          <w:p w14:paraId="756F3B56" w14:textId="77777777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481D90BE" w14:textId="77777777" w:rsidTr="002C63F1">
        <w:tc>
          <w:tcPr>
            <w:tcW w:w="846" w:type="dxa"/>
            <w:shd w:val="clear" w:color="auto" w:fill="auto"/>
          </w:tcPr>
          <w:p w14:paraId="03619C37" w14:textId="38588B28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55</w:t>
            </w:r>
          </w:p>
        </w:tc>
        <w:tc>
          <w:tcPr>
            <w:tcW w:w="5046" w:type="dxa"/>
            <w:shd w:val="clear" w:color="auto" w:fill="auto"/>
          </w:tcPr>
          <w:p w14:paraId="52B29D28" w14:textId="37DF441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możliwość wyświetlania 1, 2, 3 lub 4 trendów tabelarycznych (wartości cyfrowe) monitorowanych parametrów;</w:t>
            </w:r>
          </w:p>
        </w:tc>
        <w:tc>
          <w:tcPr>
            <w:tcW w:w="2946" w:type="dxa"/>
          </w:tcPr>
          <w:p w14:paraId="2943E3B2" w14:textId="4EDC533F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7468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2C82E72D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1408BCA1" w14:textId="77777777" w:rsidTr="002C63F1">
        <w:tc>
          <w:tcPr>
            <w:tcW w:w="846" w:type="dxa"/>
            <w:shd w:val="clear" w:color="auto" w:fill="auto"/>
          </w:tcPr>
          <w:p w14:paraId="25961AA2" w14:textId="0B44EA6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56</w:t>
            </w:r>
          </w:p>
        </w:tc>
        <w:tc>
          <w:tcPr>
            <w:tcW w:w="5046" w:type="dxa"/>
            <w:shd w:val="clear" w:color="auto" w:fill="auto"/>
          </w:tcPr>
          <w:p w14:paraId="0A887792" w14:textId="6DE1FB90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jednoczasowe wyświetlane w postaci cyfrowej bieżącej wartości;</w:t>
            </w:r>
          </w:p>
        </w:tc>
        <w:tc>
          <w:tcPr>
            <w:tcW w:w="2946" w:type="dxa"/>
          </w:tcPr>
          <w:p w14:paraId="305FD0CA" w14:textId="757273BF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7468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66D9AA6D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2490BDEC" w14:textId="77777777" w:rsidTr="002C63F1">
        <w:tc>
          <w:tcPr>
            <w:tcW w:w="846" w:type="dxa"/>
            <w:shd w:val="clear" w:color="auto" w:fill="auto"/>
          </w:tcPr>
          <w:p w14:paraId="2BE578B4" w14:textId="117CA459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57</w:t>
            </w:r>
          </w:p>
        </w:tc>
        <w:tc>
          <w:tcPr>
            <w:tcW w:w="5046" w:type="dxa"/>
            <w:shd w:val="clear" w:color="auto" w:fill="auto"/>
          </w:tcPr>
          <w:p w14:paraId="1D544A1D" w14:textId="75B9A67F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- dodatkowe oznaczenie statusu wyświetlanych parametrów przy pomocy kolorowych wskaźników (zielony, żółty, czerwony) – powiązanych z zakresami alarmów</w:t>
            </w:r>
          </w:p>
        </w:tc>
        <w:tc>
          <w:tcPr>
            <w:tcW w:w="2946" w:type="dxa"/>
          </w:tcPr>
          <w:p w14:paraId="45AC0144" w14:textId="42CF5AC0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7468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72B97986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5A6515B7" w14:textId="77777777" w:rsidTr="002C63F1">
        <w:tc>
          <w:tcPr>
            <w:tcW w:w="846" w:type="dxa"/>
            <w:shd w:val="clear" w:color="auto" w:fill="auto"/>
          </w:tcPr>
          <w:p w14:paraId="38BA2D77" w14:textId="6E3550DE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III</w:t>
            </w:r>
          </w:p>
        </w:tc>
        <w:tc>
          <w:tcPr>
            <w:tcW w:w="5046" w:type="dxa"/>
            <w:shd w:val="clear" w:color="auto" w:fill="auto"/>
          </w:tcPr>
          <w:p w14:paraId="596F0841" w14:textId="0E6C42DF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Ekran dotykowy o przekątnej min 12 cali i rozdzielczości min 1024x768</w:t>
            </w:r>
          </w:p>
        </w:tc>
        <w:tc>
          <w:tcPr>
            <w:tcW w:w="2946" w:type="dxa"/>
          </w:tcPr>
          <w:p w14:paraId="139C9BDA" w14:textId="27D9550A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7468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7A13C5CB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3057E012" w14:textId="77777777" w:rsidTr="002C63F1">
        <w:tc>
          <w:tcPr>
            <w:tcW w:w="846" w:type="dxa"/>
            <w:shd w:val="clear" w:color="auto" w:fill="auto"/>
          </w:tcPr>
          <w:p w14:paraId="362C09FD" w14:textId="6A4E1FFA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lastRenderedPageBreak/>
              <w:t>IV</w:t>
            </w:r>
          </w:p>
        </w:tc>
        <w:tc>
          <w:tcPr>
            <w:tcW w:w="5046" w:type="dxa"/>
            <w:shd w:val="clear" w:color="auto" w:fill="auto"/>
          </w:tcPr>
          <w:p w14:paraId="52880740" w14:textId="522DB826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 xml:space="preserve">Wejścia/wyjścia transmisyjne: RS232, USB 2.0, USB3.0, RJ-45, HDMI, analogowe 2 </w:t>
            </w:r>
            <w:proofErr w:type="spellStart"/>
            <w:r w:rsidRPr="00DE2D4A">
              <w:rPr>
                <w:rFonts w:ascii="Arial Narrow" w:hAnsi="Arial Narrow"/>
                <w:b/>
              </w:rPr>
              <w:t>szt</w:t>
            </w:r>
            <w:proofErr w:type="spellEnd"/>
            <w:r w:rsidRPr="00DE2D4A">
              <w:rPr>
                <w:rFonts w:ascii="Arial Narrow" w:hAnsi="Arial Narrow"/>
                <w:b/>
              </w:rPr>
              <w:t>, EKG</w:t>
            </w:r>
          </w:p>
        </w:tc>
        <w:tc>
          <w:tcPr>
            <w:tcW w:w="2946" w:type="dxa"/>
          </w:tcPr>
          <w:p w14:paraId="478B0202" w14:textId="334E3184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54B6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3AD8E5D0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666F7F6B" w14:textId="77777777" w:rsidTr="002C63F1">
        <w:tc>
          <w:tcPr>
            <w:tcW w:w="846" w:type="dxa"/>
            <w:shd w:val="clear" w:color="auto" w:fill="auto"/>
          </w:tcPr>
          <w:p w14:paraId="520070E2" w14:textId="33D5BBAF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V</w:t>
            </w:r>
          </w:p>
        </w:tc>
        <w:tc>
          <w:tcPr>
            <w:tcW w:w="5046" w:type="dxa"/>
            <w:shd w:val="clear" w:color="auto" w:fill="auto"/>
          </w:tcPr>
          <w:p w14:paraId="75F771AE" w14:textId="298DE8D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 xml:space="preserve">Dodatkowe zasilanie akumulatorowe o pojemności min 3100 </w:t>
            </w:r>
            <w:proofErr w:type="spellStart"/>
            <w:r w:rsidRPr="00DE2D4A">
              <w:rPr>
                <w:rFonts w:ascii="Arial Narrow" w:hAnsi="Arial Narrow"/>
                <w:b/>
              </w:rPr>
              <w:t>mAh</w:t>
            </w:r>
            <w:proofErr w:type="spellEnd"/>
            <w:r w:rsidRPr="00DE2D4A">
              <w:rPr>
                <w:rFonts w:ascii="Arial Narrow" w:hAnsi="Arial Narrow"/>
                <w:b/>
              </w:rPr>
              <w:t xml:space="preserve"> z możliwością wymiany bez interwencji serwisu</w:t>
            </w:r>
          </w:p>
        </w:tc>
        <w:tc>
          <w:tcPr>
            <w:tcW w:w="2946" w:type="dxa"/>
          </w:tcPr>
          <w:p w14:paraId="30D10969" w14:textId="59CE5398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54B6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5E62DBE2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5A1F7C11" w14:textId="77777777" w:rsidTr="002C63F1">
        <w:tc>
          <w:tcPr>
            <w:tcW w:w="846" w:type="dxa"/>
            <w:shd w:val="clear" w:color="auto" w:fill="auto"/>
          </w:tcPr>
          <w:p w14:paraId="2ABF341F" w14:textId="442B3A48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VI</w:t>
            </w:r>
          </w:p>
        </w:tc>
        <w:tc>
          <w:tcPr>
            <w:tcW w:w="5046" w:type="dxa"/>
            <w:shd w:val="clear" w:color="auto" w:fill="auto"/>
          </w:tcPr>
          <w:p w14:paraId="043F614E" w14:textId="4967A762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Możliwość transferu danych przez port USB w postaci pliku Excel (do dalszej obróbki) lub JPG</w:t>
            </w:r>
          </w:p>
        </w:tc>
        <w:tc>
          <w:tcPr>
            <w:tcW w:w="2946" w:type="dxa"/>
          </w:tcPr>
          <w:p w14:paraId="0E84B139" w14:textId="5B69C25D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54B6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138FA0EA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0A5341BE" w14:textId="77777777" w:rsidTr="002C63F1">
        <w:tc>
          <w:tcPr>
            <w:tcW w:w="846" w:type="dxa"/>
            <w:shd w:val="clear" w:color="auto" w:fill="auto"/>
          </w:tcPr>
          <w:p w14:paraId="691ADA7F" w14:textId="288D428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VII</w:t>
            </w:r>
          </w:p>
        </w:tc>
        <w:tc>
          <w:tcPr>
            <w:tcW w:w="5046" w:type="dxa"/>
            <w:shd w:val="clear" w:color="auto" w:fill="auto"/>
          </w:tcPr>
          <w:p w14:paraId="463D3578" w14:textId="4E3E0C69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Przewodowa lub bezprzewodowa komunikacja monitora ze szpitalnym systemem informacyjnym za pomocą protokołu HL7</w:t>
            </w:r>
          </w:p>
        </w:tc>
        <w:tc>
          <w:tcPr>
            <w:tcW w:w="2946" w:type="dxa"/>
          </w:tcPr>
          <w:p w14:paraId="353915AF" w14:textId="035242F4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54B6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6A01B349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6F40201D" w14:textId="77777777" w:rsidTr="002C63F1">
        <w:tc>
          <w:tcPr>
            <w:tcW w:w="846" w:type="dxa"/>
            <w:shd w:val="clear" w:color="auto" w:fill="auto"/>
          </w:tcPr>
          <w:p w14:paraId="7C3BCAFF" w14:textId="3D6EEA0B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VIII</w:t>
            </w:r>
          </w:p>
        </w:tc>
        <w:tc>
          <w:tcPr>
            <w:tcW w:w="5046" w:type="dxa"/>
            <w:shd w:val="clear" w:color="auto" w:fill="auto"/>
          </w:tcPr>
          <w:p w14:paraId="1CE7A129" w14:textId="63156FE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Menu w języku polskim</w:t>
            </w:r>
          </w:p>
        </w:tc>
        <w:tc>
          <w:tcPr>
            <w:tcW w:w="2946" w:type="dxa"/>
          </w:tcPr>
          <w:p w14:paraId="7D1E61CE" w14:textId="05DF43F7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54B6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119B19B8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1E157ABC" w14:textId="77777777" w:rsidTr="002C63F1">
        <w:tc>
          <w:tcPr>
            <w:tcW w:w="846" w:type="dxa"/>
            <w:shd w:val="clear" w:color="auto" w:fill="auto"/>
          </w:tcPr>
          <w:p w14:paraId="0DD3BB0B" w14:textId="4873BF53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IX</w:t>
            </w:r>
          </w:p>
        </w:tc>
        <w:tc>
          <w:tcPr>
            <w:tcW w:w="5046" w:type="dxa"/>
            <w:shd w:val="clear" w:color="auto" w:fill="auto"/>
          </w:tcPr>
          <w:p w14:paraId="0EBB5B35" w14:textId="1B7FA008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Waga aparatu nie więcej niż 4,5 kg</w:t>
            </w:r>
          </w:p>
        </w:tc>
        <w:tc>
          <w:tcPr>
            <w:tcW w:w="2946" w:type="dxa"/>
          </w:tcPr>
          <w:p w14:paraId="44A6BB4C" w14:textId="613F0C7C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54B6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4B6C318B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513DAEBA" w14:textId="77777777" w:rsidTr="002C63F1">
        <w:tc>
          <w:tcPr>
            <w:tcW w:w="846" w:type="dxa"/>
            <w:shd w:val="clear" w:color="auto" w:fill="auto"/>
          </w:tcPr>
          <w:p w14:paraId="3001BABB" w14:textId="0A2B1452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X</w:t>
            </w:r>
          </w:p>
        </w:tc>
        <w:tc>
          <w:tcPr>
            <w:tcW w:w="5046" w:type="dxa"/>
            <w:shd w:val="clear" w:color="auto" w:fill="auto"/>
          </w:tcPr>
          <w:p w14:paraId="4D657345" w14:textId="31B75738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Moduł do pomiarów oksymetrii tkankowej</w:t>
            </w:r>
          </w:p>
        </w:tc>
        <w:tc>
          <w:tcPr>
            <w:tcW w:w="2946" w:type="dxa"/>
          </w:tcPr>
          <w:p w14:paraId="48040804" w14:textId="4ACED2E5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54B6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5DB45526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3F5BBEDA" w14:textId="77777777" w:rsidTr="002C63F1">
        <w:tc>
          <w:tcPr>
            <w:tcW w:w="846" w:type="dxa"/>
            <w:shd w:val="clear" w:color="auto" w:fill="auto"/>
          </w:tcPr>
          <w:p w14:paraId="30CC62A2" w14:textId="6199D97B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XI</w:t>
            </w:r>
          </w:p>
        </w:tc>
        <w:tc>
          <w:tcPr>
            <w:tcW w:w="5046" w:type="dxa"/>
            <w:shd w:val="clear" w:color="auto" w:fill="auto"/>
          </w:tcPr>
          <w:p w14:paraId="2BF0AF74" w14:textId="6639313A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Oprogramowanie umożliwiające podłączenie czujnika, wykrywającego u pacjenta możliwość wystąpienia hipotensji</w:t>
            </w:r>
          </w:p>
        </w:tc>
        <w:tc>
          <w:tcPr>
            <w:tcW w:w="2946" w:type="dxa"/>
          </w:tcPr>
          <w:p w14:paraId="4B87BD5F" w14:textId="7B7D6E49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54B6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3178C340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76F7F705" w14:textId="77777777" w:rsidTr="002C63F1">
        <w:tc>
          <w:tcPr>
            <w:tcW w:w="846" w:type="dxa"/>
            <w:shd w:val="clear" w:color="auto" w:fill="auto"/>
          </w:tcPr>
          <w:p w14:paraId="7D2A74D6" w14:textId="3B226D5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XII</w:t>
            </w:r>
          </w:p>
        </w:tc>
        <w:tc>
          <w:tcPr>
            <w:tcW w:w="5046" w:type="dxa"/>
            <w:shd w:val="clear" w:color="auto" w:fill="auto"/>
          </w:tcPr>
          <w:p w14:paraId="60D13232" w14:textId="32C97255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Statyw do zamontowania monitora.</w:t>
            </w:r>
          </w:p>
        </w:tc>
        <w:tc>
          <w:tcPr>
            <w:tcW w:w="2946" w:type="dxa"/>
          </w:tcPr>
          <w:p w14:paraId="547F9D20" w14:textId="15FCD138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54B6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3EBBC338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0E0AA7C8" w14:textId="77777777" w:rsidTr="002C63F1">
        <w:tc>
          <w:tcPr>
            <w:tcW w:w="846" w:type="dxa"/>
            <w:shd w:val="clear" w:color="auto" w:fill="auto"/>
          </w:tcPr>
          <w:p w14:paraId="1A5F1F02" w14:textId="7533E48B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XIII</w:t>
            </w:r>
          </w:p>
        </w:tc>
        <w:tc>
          <w:tcPr>
            <w:tcW w:w="5046" w:type="dxa"/>
            <w:shd w:val="clear" w:color="auto" w:fill="auto"/>
          </w:tcPr>
          <w:p w14:paraId="4E354F91" w14:textId="62D39524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Dopuszczenie do obrotu na rynku polskim</w:t>
            </w:r>
          </w:p>
        </w:tc>
        <w:tc>
          <w:tcPr>
            <w:tcW w:w="2946" w:type="dxa"/>
          </w:tcPr>
          <w:p w14:paraId="6E3A3E39" w14:textId="1EF31DFF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54B6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4B71F4A9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3BA215AD" w14:textId="77777777" w:rsidTr="002C63F1">
        <w:tc>
          <w:tcPr>
            <w:tcW w:w="846" w:type="dxa"/>
            <w:shd w:val="clear" w:color="auto" w:fill="auto"/>
          </w:tcPr>
          <w:p w14:paraId="2C36E3EA" w14:textId="6A0D6E9A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XIV</w:t>
            </w:r>
          </w:p>
        </w:tc>
        <w:tc>
          <w:tcPr>
            <w:tcW w:w="5046" w:type="dxa"/>
            <w:shd w:val="clear" w:color="auto" w:fill="auto"/>
          </w:tcPr>
          <w:p w14:paraId="50D257A8" w14:textId="2058F2B3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Instrukcja obsługi w języku polskim</w:t>
            </w:r>
          </w:p>
        </w:tc>
        <w:tc>
          <w:tcPr>
            <w:tcW w:w="2946" w:type="dxa"/>
          </w:tcPr>
          <w:p w14:paraId="3079A518" w14:textId="6FD29281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54B6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45BF541F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5DFE6FC3" w14:textId="77777777" w:rsidTr="002C63F1">
        <w:tc>
          <w:tcPr>
            <w:tcW w:w="846" w:type="dxa"/>
            <w:shd w:val="clear" w:color="auto" w:fill="auto"/>
          </w:tcPr>
          <w:p w14:paraId="34B193FE" w14:textId="0F636DF5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XV</w:t>
            </w:r>
          </w:p>
        </w:tc>
        <w:tc>
          <w:tcPr>
            <w:tcW w:w="5046" w:type="dxa"/>
            <w:shd w:val="clear" w:color="auto" w:fill="auto"/>
          </w:tcPr>
          <w:p w14:paraId="1B875815" w14:textId="747E1AEE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Monitor zastępczy na czas naprawy w trakcie trwania ochrony serwisowej</w:t>
            </w:r>
          </w:p>
        </w:tc>
        <w:tc>
          <w:tcPr>
            <w:tcW w:w="2946" w:type="dxa"/>
          </w:tcPr>
          <w:p w14:paraId="324AEB2E" w14:textId="7C4B5B04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54B6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7F2D1D79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51E9632C" w14:textId="77777777" w:rsidTr="002C63F1">
        <w:tc>
          <w:tcPr>
            <w:tcW w:w="846" w:type="dxa"/>
            <w:shd w:val="clear" w:color="auto" w:fill="auto"/>
          </w:tcPr>
          <w:p w14:paraId="73511DF4" w14:textId="24DC0EE1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XVI</w:t>
            </w:r>
          </w:p>
        </w:tc>
        <w:tc>
          <w:tcPr>
            <w:tcW w:w="5046" w:type="dxa"/>
            <w:shd w:val="clear" w:color="auto" w:fill="auto"/>
          </w:tcPr>
          <w:p w14:paraId="09F71799" w14:textId="29338F4D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 xml:space="preserve">Bezpłatny </w:t>
            </w:r>
            <w:proofErr w:type="spellStart"/>
            <w:r w:rsidRPr="00DE2D4A">
              <w:rPr>
                <w:rFonts w:ascii="Arial Narrow" w:hAnsi="Arial Narrow"/>
                <w:b/>
              </w:rPr>
              <w:t>upgrade</w:t>
            </w:r>
            <w:proofErr w:type="spellEnd"/>
            <w:r w:rsidRPr="00DE2D4A">
              <w:rPr>
                <w:rFonts w:ascii="Arial Narrow" w:hAnsi="Arial Narrow"/>
                <w:b/>
              </w:rPr>
              <w:t xml:space="preserve"> oprogramowania w trakcie trwania ochrony serwisowej</w:t>
            </w:r>
          </w:p>
        </w:tc>
        <w:tc>
          <w:tcPr>
            <w:tcW w:w="2946" w:type="dxa"/>
          </w:tcPr>
          <w:p w14:paraId="67510918" w14:textId="71EFA7E7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54B6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2AD6C69F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0E74455B" w14:textId="77777777" w:rsidTr="002C63F1">
        <w:tc>
          <w:tcPr>
            <w:tcW w:w="846" w:type="dxa"/>
            <w:shd w:val="clear" w:color="auto" w:fill="auto"/>
          </w:tcPr>
          <w:p w14:paraId="1BB8B92D" w14:textId="3A0D545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XVII</w:t>
            </w:r>
          </w:p>
        </w:tc>
        <w:tc>
          <w:tcPr>
            <w:tcW w:w="5046" w:type="dxa"/>
            <w:shd w:val="clear" w:color="auto" w:fill="auto"/>
          </w:tcPr>
          <w:p w14:paraId="18A4BF7A" w14:textId="2C695F81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>Bezpłatny przegląd 1 raz w roku w trakcie trwania ochrony serwisowej</w:t>
            </w:r>
          </w:p>
        </w:tc>
        <w:tc>
          <w:tcPr>
            <w:tcW w:w="2946" w:type="dxa"/>
          </w:tcPr>
          <w:p w14:paraId="035273C8" w14:textId="12094813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54B6A">
              <w:rPr>
                <w:rFonts w:ascii="Arial Narrow" w:hAnsi="Arial Narrow"/>
                <w:b/>
              </w:rPr>
              <w:t>Tak</w:t>
            </w:r>
          </w:p>
        </w:tc>
        <w:tc>
          <w:tcPr>
            <w:tcW w:w="2947" w:type="dxa"/>
          </w:tcPr>
          <w:p w14:paraId="0D306593" w14:textId="77777777" w:rsidR="00C312F0" w:rsidRDefault="00C312F0" w:rsidP="00C312F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312F0" w14:paraId="199AD34C" w14:textId="77777777" w:rsidTr="002C63F1">
        <w:tc>
          <w:tcPr>
            <w:tcW w:w="846" w:type="dxa"/>
            <w:shd w:val="clear" w:color="auto" w:fill="auto"/>
          </w:tcPr>
          <w:p w14:paraId="0657263A" w14:textId="61819FCB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lastRenderedPageBreak/>
              <w:t>XVIII</w:t>
            </w:r>
          </w:p>
        </w:tc>
        <w:tc>
          <w:tcPr>
            <w:tcW w:w="5046" w:type="dxa"/>
            <w:shd w:val="clear" w:color="auto" w:fill="auto"/>
          </w:tcPr>
          <w:p w14:paraId="58623E62" w14:textId="1972C9E9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  <w:r w:rsidRPr="00DE2D4A">
              <w:rPr>
                <w:rFonts w:ascii="Arial Narrow" w:hAnsi="Arial Narrow"/>
                <w:b/>
              </w:rPr>
              <w:t xml:space="preserve">Okres gwarancji urządzenia (nie dotyczy części zużywalnych) – </w:t>
            </w:r>
            <w:r>
              <w:rPr>
                <w:rFonts w:ascii="Arial Narrow" w:hAnsi="Arial Narrow"/>
                <w:b/>
              </w:rPr>
              <w:t xml:space="preserve">minimum </w:t>
            </w:r>
            <w:r w:rsidRPr="00DE2D4A">
              <w:rPr>
                <w:rFonts w:ascii="Arial Narrow" w:hAnsi="Arial Narrow"/>
                <w:b/>
              </w:rPr>
              <w:t>24 miesiące</w:t>
            </w:r>
          </w:p>
        </w:tc>
        <w:tc>
          <w:tcPr>
            <w:tcW w:w="2946" w:type="dxa"/>
          </w:tcPr>
          <w:p w14:paraId="4C002219" w14:textId="55A39166" w:rsidR="00C312F0" w:rsidRDefault="00C312F0" w:rsidP="00C31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12F0">
              <w:rPr>
                <w:rFonts w:ascii="Times New Roman" w:hAnsi="Times New Roman" w:cs="Times New Roman"/>
                <w:b/>
              </w:rPr>
              <w:t>Tak</w:t>
            </w:r>
            <w:bookmarkStart w:id="0" w:name="_GoBack"/>
            <w:bookmarkEnd w:id="0"/>
          </w:p>
        </w:tc>
        <w:tc>
          <w:tcPr>
            <w:tcW w:w="2947" w:type="dxa"/>
          </w:tcPr>
          <w:p w14:paraId="3C28F385" w14:textId="77777777" w:rsidR="00C312F0" w:rsidRDefault="00C312F0" w:rsidP="00766664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3973C409" w14:textId="77777777" w:rsidR="00181E0D" w:rsidRDefault="00181E0D" w:rsidP="00181E0D">
      <w:pPr>
        <w:rPr>
          <w:rFonts w:ascii="Times New Roman" w:hAnsi="Times New Roman" w:cs="Times New Roman"/>
          <w:b/>
        </w:rPr>
      </w:pPr>
    </w:p>
    <w:p w14:paraId="73C7F797" w14:textId="057454A4" w:rsidR="00766664" w:rsidRPr="00766664" w:rsidRDefault="00766664" w:rsidP="00766664">
      <w:pPr>
        <w:rPr>
          <w:rFonts w:ascii="Times New Roman" w:hAnsi="Times New Roman" w:cs="Times New Roman"/>
          <w:b/>
        </w:rPr>
      </w:pPr>
      <w:r w:rsidRPr="00766664">
        <w:rPr>
          <w:rFonts w:ascii="Times New Roman" w:hAnsi="Times New Roman" w:cs="Times New Roman"/>
          <w:b/>
        </w:rPr>
        <w:t>MIEJSCE DOSTAWY APARAT DO POMIARU HEMODYNAMIKI – 1 szt.”</w:t>
      </w:r>
    </w:p>
    <w:p w14:paraId="59725098" w14:textId="77777777" w:rsidR="00766664" w:rsidRPr="00766664" w:rsidRDefault="00766664" w:rsidP="00766664">
      <w:pPr>
        <w:rPr>
          <w:rFonts w:ascii="Times New Roman" w:hAnsi="Times New Roman" w:cs="Times New Roman"/>
          <w:b/>
        </w:rPr>
      </w:pPr>
      <w:r w:rsidRPr="00766664">
        <w:rPr>
          <w:rFonts w:ascii="Times New Roman" w:hAnsi="Times New Roman" w:cs="Times New Roman"/>
          <w:b/>
        </w:rPr>
        <w:t>Szpital Wojewódzki w Poznaniu, ul. Juraszów 7-19, 60-479  Poznań</w:t>
      </w:r>
    </w:p>
    <w:p w14:paraId="118AB110" w14:textId="77777777" w:rsidR="00766664" w:rsidRPr="00766664" w:rsidRDefault="00766664" w:rsidP="00766664">
      <w:pPr>
        <w:rPr>
          <w:rFonts w:ascii="Times New Roman" w:hAnsi="Times New Roman" w:cs="Times New Roman"/>
          <w:b/>
        </w:rPr>
      </w:pPr>
      <w:r w:rsidRPr="00766664">
        <w:rPr>
          <w:rFonts w:ascii="Times New Roman" w:hAnsi="Times New Roman" w:cs="Times New Roman"/>
          <w:b/>
        </w:rPr>
        <w:t>Oddział Anestezjologii i Intensywnej Terapii z Zespołami Leczenia Urazów Wielonarządowych – II piętro</w:t>
      </w:r>
    </w:p>
    <w:p w14:paraId="6BF893D9" w14:textId="77777777" w:rsidR="007C60A1" w:rsidRPr="007C60A1" w:rsidRDefault="007C60A1" w:rsidP="00E47223">
      <w:pPr>
        <w:jc w:val="both"/>
        <w:rPr>
          <w:rFonts w:ascii="Times New Roman" w:hAnsi="Times New Roman" w:cs="Times New Roman"/>
          <w:b/>
          <w:color w:val="FF0000"/>
        </w:rPr>
      </w:pPr>
      <w:r w:rsidRPr="007C60A1">
        <w:rPr>
          <w:rFonts w:ascii="Times New Roman" w:hAnsi="Times New Roman" w:cs="Times New Roman"/>
          <w:b/>
          <w:color w:val="FF0000"/>
        </w:rPr>
        <w:t>UWAGA:</w:t>
      </w:r>
    </w:p>
    <w:p w14:paraId="591514D0" w14:textId="2FDD76EC" w:rsidR="007C60A1" w:rsidRPr="007C60A1" w:rsidRDefault="007C60A1" w:rsidP="00E47223">
      <w:pPr>
        <w:jc w:val="both"/>
        <w:rPr>
          <w:rFonts w:ascii="Times New Roman" w:hAnsi="Times New Roman" w:cs="Times New Roman"/>
          <w:b/>
          <w:color w:val="FF0000"/>
        </w:rPr>
      </w:pPr>
      <w:r w:rsidRPr="007C60A1">
        <w:rPr>
          <w:rFonts w:ascii="Times New Roman" w:hAnsi="Times New Roman" w:cs="Times New Roman"/>
          <w:b/>
          <w:color w:val="FF0000"/>
        </w:rPr>
        <w:t>ZAŁĄCZNIK NIE ZAWIERA ZMIAN WYNIKAJĄCYCH Z TREŚCI UDZIELONYCH ODPOWIEDZI – WYKONAWCY MUSZĄ JE UWZGLĘDNIĆ WE WLASNYM ZAKRESIE.</w:t>
      </w:r>
    </w:p>
    <w:p w14:paraId="4DA9A4D9" w14:textId="14A95F2F" w:rsidR="007C60A1" w:rsidRPr="007C60A1" w:rsidRDefault="007C60A1" w:rsidP="00E47223">
      <w:pPr>
        <w:jc w:val="both"/>
        <w:rPr>
          <w:rFonts w:ascii="Times New Roman" w:hAnsi="Times New Roman" w:cs="Times New Roman"/>
          <w:b/>
          <w:color w:val="FF0000"/>
        </w:rPr>
      </w:pPr>
      <w:r w:rsidRPr="007C60A1">
        <w:rPr>
          <w:rFonts w:ascii="Times New Roman" w:hAnsi="Times New Roman" w:cs="Times New Roman"/>
          <w:b/>
          <w:color w:val="FF0000"/>
        </w:rPr>
        <w:t>PRZEDMIOTOWA ZMIANA TREŚCI ZAŁĄCZNKA POLEGA WYŁĄCZNIE NA DODANIU KOLUMNY: „OFEROWANE WARUNKI</w:t>
      </w:r>
    </w:p>
    <w:p w14:paraId="39949D5C" w14:textId="6FB8C4D3" w:rsidR="008A53D2" w:rsidRPr="007C60A1" w:rsidRDefault="007C60A1" w:rsidP="00E47223">
      <w:pPr>
        <w:jc w:val="both"/>
        <w:rPr>
          <w:rFonts w:ascii="Times New Roman" w:hAnsi="Times New Roman" w:cs="Times New Roman"/>
          <w:b/>
          <w:color w:val="FF0000"/>
        </w:rPr>
      </w:pPr>
      <w:r w:rsidRPr="007C60A1">
        <w:rPr>
          <w:rFonts w:ascii="Times New Roman" w:hAnsi="Times New Roman" w:cs="Times New Roman"/>
          <w:b/>
          <w:color w:val="FF0000"/>
        </w:rPr>
        <w:t>Wypełnia Wykonawca (parametry w oferowanym asortymencie - wpisać)”</w:t>
      </w:r>
    </w:p>
    <w:sectPr w:rsidR="008A53D2" w:rsidRPr="007C60A1" w:rsidSect="00181E0D">
      <w:footerReference w:type="default" r:id="rId7"/>
      <w:pgSz w:w="16838" w:h="11906" w:orient="landscape"/>
      <w:pgMar w:top="567" w:right="678" w:bottom="567" w:left="1418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36743E" w14:textId="77777777" w:rsidR="00E26EA7" w:rsidRDefault="00E26EA7" w:rsidP="005B07E8">
      <w:pPr>
        <w:spacing w:after="0" w:line="240" w:lineRule="auto"/>
      </w:pPr>
      <w:r>
        <w:separator/>
      </w:r>
    </w:p>
  </w:endnote>
  <w:endnote w:type="continuationSeparator" w:id="0">
    <w:p w14:paraId="1922269D" w14:textId="77777777" w:rsidR="00E26EA7" w:rsidRDefault="00E26EA7" w:rsidP="005B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7877796"/>
      <w:docPartObj>
        <w:docPartGallery w:val="Page Numbers (Bottom of Page)"/>
        <w:docPartUnique/>
      </w:docPartObj>
    </w:sdtPr>
    <w:sdtEndPr/>
    <w:sdtContent>
      <w:p w14:paraId="15AB239F" w14:textId="043BC470" w:rsidR="00E27A9A" w:rsidRDefault="00E27A9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12F0">
          <w:rPr>
            <w:noProof/>
          </w:rPr>
          <w:t>5</w:t>
        </w:r>
        <w:r>
          <w:fldChar w:fldCharType="end"/>
        </w:r>
      </w:p>
    </w:sdtContent>
  </w:sdt>
  <w:p w14:paraId="62CEDEDF" w14:textId="77777777" w:rsidR="00E27A9A" w:rsidRDefault="00E27A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ECE701" w14:textId="77777777" w:rsidR="00E26EA7" w:rsidRDefault="00E26EA7" w:rsidP="005B07E8">
      <w:pPr>
        <w:spacing w:after="0" w:line="240" w:lineRule="auto"/>
      </w:pPr>
      <w:r>
        <w:separator/>
      </w:r>
    </w:p>
  </w:footnote>
  <w:footnote w:type="continuationSeparator" w:id="0">
    <w:p w14:paraId="3AF1D22E" w14:textId="77777777" w:rsidR="00E26EA7" w:rsidRDefault="00E26EA7" w:rsidP="005B0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646D0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159C5"/>
    <w:multiLevelType w:val="multilevel"/>
    <w:tmpl w:val="6CECF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178D3C9F"/>
    <w:multiLevelType w:val="hybridMultilevel"/>
    <w:tmpl w:val="275AEFF8"/>
    <w:lvl w:ilvl="0" w:tplc="032E716E">
      <w:numFmt w:val="bullet"/>
      <w:lvlText w:val="-"/>
      <w:lvlJc w:val="left"/>
      <w:pPr>
        <w:ind w:left="720" w:hanging="360"/>
      </w:pPr>
      <w:rPr>
        <w:rFonts w:ascii="Calibri" w:eastAsia="Andale Sans U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4272E"/>
    <w:multiLevelType w:val="hybridMultilevel"/>
    <w:tmpl w:val="2CB473AC"/>
    <w:lvl w:ilvl="0" w:tplc="EFF2B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B3092"/>
    <w:multiLevelType w:val="multilevel"/>
    <w:tmpl w:val="2EBA0F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291DA4"/>
    <w:multiLevelType w:val="multilevel"/>
    <w:tmpl w:val="D398E7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430CA9"/>
    <w:multiLevelType w:val="multilevel"/>
    <w:tmpl w:val="9F06555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B5F2F"/>
    <w:multiLevelType w:val="multilevel"/>
    <w:tmpl w:val="A90A6F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B306AC2"/>
    <w:multiLevelType w:val="hybridMultilevel"/>
    <w:tmpl w:val="B2A04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EB5F2A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EF3BB5"/>
    <w:multiLevelType w:val="hybridMultilevel"/>
    <w:tmpl w:val="9912BA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A97EE1"/>
    <w:multiLevelType w:val="hybridMultilevel"/>
    <w:tmpl w:val="B16E5C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511991"/>
    <w:multiLevelType w:val="multilevel"/>
    <w:tmpl w:val="183AE782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decimal"/>
      <w:lvlText w:val="%2."/>
      <w:lvlJc w:val="left"/>
      <w:pPr>
        <w:ind w:left="1455" w:hanging="360"/>
      </w:pPr>
    </w:lvl>
    <w:lvl w:ilvl="2">
      <w:start w:val="1"/>
      <w:numFmt w:val="decimal"/>
      <w:lvlText w:val="%3."/>
      <w:lvlJc w:val="left"/>
      <w:pPr>
        <w:ind w:left="1815" w:hanging="360"/>
      </w:pPr>
    </w:lvl>
    <w:lvl w:ilvl="3">
      <w:start w:val="1"/>
      <w:numFmt w:val="decimal"/>
      <w:lvlText w:val="%4."/>
      <w:lvlJc w:val="left"/>
      <w:pPr>
        <w:ind w:left="2175" w:hanging="360"/>
      </w:pPr>
    </w:lvl>
    <w:lvl w:ilvl="4">
      <w:start w:val="1"/>
      <w:numFmt w:val="decimal"/>
      <w:lvlText w:val="%5."/>
      <w:lvlJc w:val="left"/>
      <w:pPr>
        <w:ind w:left="2535" w:hanging="360"/>
      </w:pPr>
    </w:lvl>
    <w:lvl w:ilvl="5">
      <w:start w:val="1"/>
      <w:numFmt w:val="decimal"/>
      <w:lvlText w:val="%6."/>
      <w:lvlJc w:val="left"/>
      <w:pPr>
        <w:ind w:left="2895" w:hanging="360"/>
      </w:pPr>
    </w:lvl>
    <w:lvl w:ilvl="6">
      <w:start w:val="1"/>
      <w:numFmt w:val="decimal"/>
      <w:lvlText w:val="%7."/>
      <w:lvlJc w:val="left"/>
      <w:pPr>
        <w:ind w:left="3255" w:hanging="360"/>
      </w:pPr>
    </w:lvl>
    <w:lvl w:ilvl="7">
      <w:start w:val="1"/>
      <w:numFmt w:val="decimal"/>
      <w:lvlText w:val="%8."/>
      <w:lvlJc w:val="left"/>
      <w:pPr>
        <w:ind w:left="3615" w:hanging="360"/>
      </w:pPr>
    </w:lvl>
    <w:lvl w:ilvl="8">
      <w:start w:val="1"/>
      <w:numFmt w:val="decimal"/>
      <w:lvlText w:val="%9."/>
      <w:lvlJc w:val="left"/>
      <w:pPr>
        <w:ind w:left="3975" w:hanging="360"/>
      </w:pPr>
    </w:lvl>
  </w:abstractNum>
  <w:abstractNum w:abstractNumId="15" w15:restartNumberingAfterBreak="0">
    <w:nsid w:val="49DF3CBE"/>
    <w:multiLevelType w:val="multilevel"/>
    <w:tmpl w:val="F412E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065A30"/>
    <w:multiLevelType w:val="multilevel"/>
    <w:tmpl w:val="45380B4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44C47"/>
    <w:multiLevelType w:val="multilevel"/>
    <w:tmpl w:val="0BC6E7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 w15:restartNumberingAfterBreak="0">
    <w:nsid w:val="57F21BDD"/>
    <w:multiLevelType w:val="hybridMultilevel"/>
    <w:tmpl w:val="375C11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8E0A53"/>
    <w:multiLevelType w:val="hybridMultilevel"/>
    <w:tmpl w:val="8E26D0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EB69CC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 w15:restartNumberingAfterBreak="0">
    <w:nsid w:val="6D691597"/>
    <w:multiLevelType w:val="multilevel"/>
    <w:tmpl w:val="0DFC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71D54B59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7AEB6099"/>
    <w:multiLevelType w:val="hybridMultilevel"/>
    <w:tmpl w:val="DCD45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94009"/>
    <w:multiLevelType w:val="hybridMultilevel"/>
    <w:tmpl w:val="329C13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2"/>
  </w:num>
  <w:num w:numId="4">
    <w:abstractNumId w:val="15"/>
  </w:num>
  <w:num w:numId="5">
    <w:abstractNumId w:val="17"/>
  </w:num>
  <w:num w:numId="6">
    <w:abstractNumId w:val="4"/>
  </w:num>
  <w:num w:numId="7">
    <w:abstractNumId w:val="20"/>
  </w:num>
  <w:num w:numId="8">
    <w:abstractNumId w:val="21"/>
  </w:num>
  <w:num w:numId="9">
    <w:abstractNumId w:val="5"/>
  </w:num>
  <w:num w:numId="10">
    <w:abstractNumId w:val="7"/>
  </w:num>
  <w:num w:numId="11">
    <w:abstractNumId w:val="2"/>
  </w:num>
  <w:num w:numId="12">
    <w:abstractNumId w:val="8"/>
  </w:num>
  <w:num w:numId="13">
    <w:abstractNumId w:val="10"/>
  </w:num>
  <w:num w:numId="14">
    <w:abstractNumId w:val="1"/>
  </w:num>
  <w:num w:numId="15">
    <w:abstractNumId w:val="0"/>
  </w:num>
  <w:num w:numId="16">
    <w:abstractNumId w:val="11"/>
  </w:num>
  <w:num w:numId="17">
    <w:abstractNumId w:val="9"/>
  </w:num>
  <w:num w:numId="18">
    <w:abstractNumId w:val="13"/>
  </w:num>
  <w:num w:numId="19">
    <w:abstractNumId w:val="24"/>
  </w:num>
  <w:num w:numId="20">
    <w:abstractNumId w:val="19"/>
  </w:num>
  <w:num w:numId="21">
    <w:abstractNumId w:val="18"/>
  </w:num>
  <w:num w:numId="22">
    <w:abstractNumId w:val="12"/>
  </w:num>
  <w:num w:numId="23">
    <w:abstractNumId w:val="14"/>
  </w:num>
  <w:num w:numId="24">
    <w:abstractNumId w:val="3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06D"/>
    <w:rsid w:val="00000327"/>
    <w:rsid w:val="000225DE"/>
    <w:rsid w:val="00036CDF"/>
    <w:rsid w:val="00073721"/>
    <w:rsid w:val="000A606D"/>
    <w:rsid w:val="000B4E6C"/>
    <w:rsid w:val="000C6048"/>
    <w:rsid w:val="000D3AE3"/>
    <w:rsid w:val="000E06B6"/>
    <w:rsid w:val="000F6B8F"/>
    <w:rsid w:val="00112F8D"/>
    <w:rsid w:val="001238EB"/>
    <w:rsid w:val="001244B9"/>
    <w:rsid w:val="0015087F"/>
    <w:rsid w:val="00181E0D"/>
    <w:rsid w:val="001A75DE"/>
    <w:rsid w:val="001B3E4C"/>
    <w:rsid w:val="001B7513"/>
    <w:rsid w:val="001C7C8C"/>
    <w:rsid w:val="001D56BD"/>
    <w:rsid w:val="001E4D7E"/>
    <w:rsid w:val="001E6627"/>
    <w:rsid w:val="001F0754"/>
    <w:rsid w:val="002238AE"/>
    <w:rsid w:val="00224281"/>
    <w:rsid w:val="0024583B"/>
    <w:rsid w:val="00255152"/>
    <w:rsid w:val="00293735"/>
    <w:rsid w:val="00294CE1"/>
    <w:rsid w:val="002B3250"/>
    <w:rsid w:val="002B774F"/>
    <w:rsid w:val="00300B5B"/>
    <w:rsid w:val="00300CB9"/>
    <w:rsid w:val="00316071"/>
    <w:rsid w:val="00317573"/>
    <w:rsid w:val="0034387D"/>
    <w:rsid w:val="003768C6"/>
    <w:rsid w:val="003C50F9"/>
    <w:rsid w:val="003D7B98"/>
    <w:rsid w:val="004056B4"/>
    <w:rsid w:val="004168A2"/>
    <w:rsid w:val="004279E2"/>
    <w:rsid w:val="00435F68"/>
    <w:rsid w:val="004416C1"/>
    <w:rsid w:val="00442279"/>
    <w:rsid w:val="00462FF1"/>
    <w:rsid w:val="00473418"/>
    <w:rsid w:val="004752AF"/>
    <w:rsid w:val="0048297C"/>
    <w:rsid w:val="00492F59"/>
    <w:rsid w:val="00494A02"/>
    <w:rsid w:val="004A24EB"/>
    <w:rsid w:val="004A7450"/>
    <w:rsid w:val="004B4599"/>
    <w:rsid w:val="004E43CC"/>
    <w:rsid w:val="004F1BB4"/>
    <w:rsid w:val="00511DE3"/>
    <w:rsid w:val="00520559"/>
    <w:rsid w:val="005226F8"/>
    <w:rsid w:val="0054119B"/>
    <w:rsid w:val="005660B0"/>
    <w:rsid w:val="00587D1A"/>
    <w:rsid w:val="005A16B5"/>
    <w:rsid w:val="005B07E8"/>
    <w:rsid w:val="005C4436"/>
    <w:rsid w:val="005F2D17"/>
    <w:rsid w:val="00614B6D"/>
    <w:rsid w:val="0062720E"/>
    <w:rsid w:val="006340A9"/>
    <w:rsid w:val="00636F82"/>
    <w:rsid w:val="00671A12"/>
    <w:rsid w:val="006832D9"/>
    <w:rsid w:val="006A54DC"/>
    <w:rsid w:val="006B3F80"/>
    <w:rsid w:val="00707462"/>
    <w:rsid w:val="00712D2E"/>
    <w:rsid w:val="00740196"/>
    <w:rsid w:val="00752687"/>
    <w:rsid w:val="00754D52"/>
    <w:rsid w:val="00766664"/>
    <w:rsid w:val="00786FD4"/>
    <w:rsid w:val="007C347B"/>
    <w:rsid w:val="007C60A1"/>
    <w:rsid w:val="007E6472"/>
    <w:rsid w:val="007F06CA"/>
    <w:rsid w:val="007F3892"/>
    <w:rsid w:val="00810B94"/>
    <w:rsid w:val="00846C4D"/>
    <w:rsid w:val="00856B39"/>
    <w:rsid w:val="008822EF"/>
    <w:rsid w:val="00890F48"/>
    <w:rsid w:val="0089209B"/>
    <w:rsid w:val="008A53D2"/>
    <w:rsid w:val="008C4FE3"/>
    <w:rsid w:val="008C5D6C"/>
    <w:rsid w:val="008F2065"/>
    <w:rsid w:val="008F6F98"/>
    <w:rsid w:val="00911B2E"/>
    <w:rsid w:val="00982AA9"/>
    <w:rsid w:val="00990EF5"/>
    <w:rsid w:val="009C18F2"/>
    <w:rsid w:val="009E53BF"/>
    <w:rsid w:val="009E7242"/>
    <w:rsid w:val="009F4E34"/>
    <w:rsid w:val="00A37C5E"/>
    <w:rsid w:val="00A42DF8"/>
    <w:rsid w:val="00A464AF"/>
    <w:rsid w:val="00A72646"/>
    <w:rsid w:val="00A77834"/>
    <w:rsid w:val="00A94CBB"/>
    <w:rsid w:val="00AB2E9F"/>
    <w:rsid w:val="00AD6181"/>
    <w:rsid w:val="00B07846"/>
    <w:rsid w:val="00B76A11"/>
    <w:rsid w:val="00B8392D"/>
    <w:rsid w:val="00BA4C57"/>
    <w:rsid w:val="00BC1ECE"/>
    <w:rsid w:val="00BF6BFC"/>
    <w:rsid w:val="00C00140"/>
    <w:rsid w:val="00C055F6"/>
    <w:rsid w:val="00C13364"/>
    <w:rsid w:val="00C20D6D"/>
    <w:rsid w:val="00C26FA7"/>
    <w:rsid w:val="00C312F0"/>
    <w:rsid w:val="00C324C3"/>
    <w:rsid w:val="00C32E1D"/>
    <w:rsid w:val="00C5630F"/>
    <w:rsid w:val="00C57648"/>
    <w:rsid w:val="00C60F8A"/>
    <w:rsid w:val="00C778A8"/>
    <w:rsid w:val="00C903DE"/>
    <w:rsid w:val="00C90BC4"/>
    <w:rsid w:val="00CB44F2"/>
    <w:rsid w:val="00CB5E12"/>
    <w:rsid w:val="00D066D6"/>
    <w:rsid w:val="00D11A89"/>
    <w:rsid w:val="00D25F1A"/>
    <w:rsid w:val="00D75FF8"/>
    <w:rsid w:val="00D9384B"/>
    <w:rsid w:val="00DA685C"/>
    <w:rsid w:val="00DC461D"/>
    <w:rsid w:val="00DD79EB"/>
    <w:rsid w:val="00DE2AE6"/>
    <w:rsid w:val="00DF11DA"/>
    <w:rsid w:val="00DF2091"/>
    <w:rsid w:val="00E11961"/>
    <w:rsid w:val="00E22C60"/>
    <w:rsid w:val="00E26EA7"/>
    <w:rsid w:val="00E27A9A"/>
    <w:rsid w:val="00E323E1"/>
    <w:rsid w:val="00E450DD"/>
    <w:rsid w:val="00E47223"/>
    <w:rsid w:val="00E4735D"/>
    <w:rsid w:val="00E4780D"/>
    <w:rsid w:val="00E55981"/>
    <w:rsid w:val="00E70B3C"/>
    <w:rsid w:val="00EA170C"/>
    <w:rsid w:val="00ED0C01"/>
    <w:rsid w:val="00EE33DC"/>
    <w:rsid w:val="00EF4FCA"/>
    <w:rsid w:val="00EF5884"/>
    <w:rsid w:val="00EF6A95"/>
    <w:rsid w:val="00EF79C3"/>
    <w:rsid w:val="00F11F5D"/>
    <w:rsid w:val="00F122BD"/>
    <w:rsid w:val="00F12C5E"/>
    <w:rsid w:val="00F20DC7"/>
    <w:rsid w:val="00F62D78"/>
    <w:rsid w:val="00F92366"/>
    <w:rsid w:val="00FB112E"/>
    <w:rsid w:val="00FB5F9A"/>
    <w:rsid w:val="00FD39CA"/>
    <w:rsid w:val="00FE3B16"/>
    <w:rsid w:val="00FE7A97"/>
    <w:rsid w:val="00F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4A6C"/>
  <w15:docId w15:val="{D4E4297D-9B86-4A7F-A376-E79735488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209B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0A606D"/>
    <w:rPr>
      <w:rFonts w:ascii="Times New Roman" w:hAnsi="Times New Roman"/>
      <w:b/>
      <w:bCs/>
      <w:sz w:val="24"/>
    </w:rPr>
  </w:style>
  <w:style w:type="character" w:customStyle="1" w:styleId="Znakiwypunktowania">
    <w:name w:val="Znaki wypunktowania"/>
    <w:qFormat/>
    <w:rsid w:val="000A606D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0A606D"/>
  </w:style>
  <w:style w:type="character" w:customStyle="1" w:styleId="ListLabel2">
    <w:name w:val="ListLabel 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3">
    <w:name w:val="ListLabel 3"/>
    <w:qFormat/>
    <w:rsid w:val="000A606D"/>
    <w:rPr>
      <w:rFonts w:cs="OpenSymbol"/>
    </w:rPr>
  </w:style>
  <w:style w:type="character" w:customStyle="1" w:styleId="ListLabel4">
    <w:name w:val="ListLabel 4"/>
    <w:qFormat/>
    <w:rsid w:val="000A606D"/>
    <w:rPr>
      <w:rFonts w:cs="OpenSymbol"/>
    </w:rPr>
  </w:style>
  <w:style w:type="character" w:customStyle="1" w:styleId="ListLabel5">
    <w:name w:val="ListLabel 5"/>
    <w:qFormat/>
    <w:rsid w:val="000A606D"/>
    <w:rPr>
      <w:rFonts w:cs="OpenSymbol"/>
    </w:rPr>
  </w:style>
  <w:style w:type="character" w:customStyle="1" w:styleId="ListLabel6">
    <w:name w:val="ListLabel 6"/>
    <w:qFormat/>
    <w:rsid w:val="000A606D"/>
    <w:rPr>
      <w:rFonts w:cs="OpenSymbol"/>
    </w:rPr>
  </w:style>
  <w:style w:type="character" w:customStyle="1" w:styleId="ListLabel7">
    <w:name w:val="ListLabel 7"/>
    <w:qFormat/>
    <w:rsid w:val="000A606D"/>
    <w:rPr>
      <w:rFonts w:cs="OpenSymbol"/>
    </w:rPr>
  </w:style>
  <w:style w:type="character" w:customStyle="1" w:styleId="ListLabel8">
    <w:name w:val="ListLabel 8"/>
    <w:qFormat/>
    <w:rsid w:val="000A606D"/>
    <w:rPr>
      <w:rFonts w:cs="OpenSymbol"/>
    </w:rPr>
  </w:style>
  <w:style w:type="character" w:customStyle="1" w:styleId="ListLabel9">
    <w:name w:val="ListLabel 9"/>
    <w:qFormat/>
    <w:rsid w:val="000A606D"/>
    <w:rPr>
      <w:rFonts w:cs="OpenSymbol"/>
    </w:rPr>
  </w:style>
  <w:style w:type="character" w:customStyle="1" w:styleId="ListLabel10">
    <w:name w:val="ListLabel 10"/>
    <w:qFormat/>
    <w:rsid w:val="000A606D"/>
    <w:rPr>
      <w:rFonts w:cs="OpenSymbol"/>
    </w:rPr>
  </w:style>
  <w:style w:type="character" w:customStyle="1" w:styleId="ListLabel11">
    <w:name w:val="ListLabel 11"/>
    <w:qFormat/>
    <w:rsid w:val="000A606D"/>
    <w:rPr>
      <w:rFonts w:cs="OpenSymbol"/>
    </w:rPr>
  </w:style>
  <w:style w:type="character" w:customStyle="1" w:styleId="ListLabel12">
    <w:name w:val="ListLabel 1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13">
    <w:name w:val="ListLabel 13"/>
    <w:qFormat/>
    <w:rsid w:val="000A606D"/>
    <w:rPr>
      <w:b/>
      <w:bCs/>
      <w:sz w:val="24"/>
    </w:rPr>
  </w:style>
  <w:style w:type="paragraph" w:styleId="Nagwek">
    <w:name w:val="header"/>
    <w:basedOn w:val="Normalny"/>
    <w:next w:val="Tekstpodstawowy"/>
    <w:qFormat/>
    <w:rsid w:val="000A60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A606D"/>
    <w:pPr>
      <w:spacing w:after="140"/>
    </w:pPr>
  </w:style>
  <w:style w:type="paragraph" w:styleId="Lista">
    <w:name w:val="List"/>
    <w:basedOn w:val="Tekstpodstawowy"/>
    <w:rsid w:val="000A606D"/>
    <w:rPr>
      <w:rFonts w:cs="Arial"/>
    </w:rPr>
  </w:style>
  <w:style w:type="paragraph" w:customStyle="1" w:styleId="Legenda1">
    <w:name w:val="Legenda1"/>
    <w:basedOn w:val="Normalny"/>
    <w:qFormat/>
    <w:rsid w:val="000A60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A606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243E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0A60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5B0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7E8"/>
    <w:rPr>
      <w:sz w:val="22"/>
    </w:rPr>
  </w:style>
  <w:style w:type="character" w:styleId="Odwoanieprzypisudolnego">
    <w:name w:val="footnote reference"/>
    <w:uiPriority w:val="99"/>
    <w:rsid w:val="00990EF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90EF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0EF5"/>
    <w:rPr>
      <w:rFonts w:ascii="Times New Roman" w:eastAsia="Times New Roman" w:hAnsi="Times New Roman" w:cs="Times New Roman"/>
      <w:color w:val="00000A"/>
      <w:szCs w:val="20"/>
      <w:lang w:val="x-none" w:eastAsia="zh-CN"/>
    </w:rPr>
  </w:style>
  <w:style w:type="table" w:styleId="Tabela-Siatka">
    <w:name w:val="Table Grid"/>
    <w:basedOn w:val="Standardowy"/>
    <w:uiPriority w:val="39"/>
    <w:rsid w:val="00E32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E3B16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E3B16"/>
    <w:pPr>
      <w:suppressLineNumbers/>
    </w:pPr>
  </w:style>
  <w:style w:type="paragraph" w:customStyle="1" w:styleId="Normalny1">
    <w:name w:val="Normalny1"/>
    <w:rsid w:val="006B3F80"/>
    <w:pPr>
      <w:suppressAutoHyphens/>
      <w:spacing w:after="200" w:line="276" w:lineRule="auto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980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Ślusarski</dc:creator>
  <cp:lastModifiedBy>Zaopatrzenie</cp:lastModifiedBy>
  <cp:revision>3</cp:revision>
  <dcterms:created xsi:type="dcterms:W3CDTF">2023-07-07T10:26:00Z</dcterms:created>
  <dcterms:modified xsi:type="dcterms:W3CDTF">2023-07-07T10:33:00Z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