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91263" w:rsidP="006A5DF1">
      <w:pPr>
        <w:spacing w:after="240"/>
        <w:jc w:val="right"/>
        <w:rPr>
          <w:sz w:val="22"/>
          <w:szCs w:val="22"/>
        </w:rPr>
      </w:pPr>
      <w:r w:rsidRPr="00B9126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91263">
        <w:rPr>
          <w:sz w:val="22"/>
          <w:szCs w:val="22"/>
        </w:rPr>
        <w:t>2023-07-06</w:t>
      </w:r>
    </w:p>
    <w:p w:rsidR="00B91263" w:rsidRPr="00B91263" w:rsidRDefault="00B91263" w:rsidP="006A5DF1">
      <w:pPr>
        <w:rPr>
          <w:b/>
          <w:bCs/>
          <w:sz w:val="22"/>
          <w:szCs w:val="22"/>
        </w:rPr>
      </w:pPr>
      <w:r w:rsidRPr="00B91263">
        <w:rPr>
          <w:b/>
          <w:bCs/>
          <w:sz w:val="22"/>
          <w:szCs w:val="22"/>
        </w:rPr>
        <w:t>Akademia Górniczo - Hutnicza</w:t>
      </w:r>
    </w:p>
    <w:p w:rsidR="00B91263" w:rsidRPr="00B91263" w:rsidRDefault="00B91263" w:rsidP="006A5DF1">
      <w:pPr>
        <w:rPr>
          <w:b/>
          <w:bCs/>
          <w:sz w:val="22"/>
          <w:szCs w:val="22"/>
        </w:rPr>
      </w:pPr>
      <w:r w:rsidRPr="00B91263">
        <w:rPr>
          <w:b/>
          <w:bCs/>
          <w:sz w:val="22"/>
          <w:szCs w:val="22"/>
        </w:rPr>
        <w:t>im. Stanisława Staszica w Krakowie</w:t>
      </w:r>
    </w:p>
    <w:p w:rsidR="006A5DF1" w:rsidRPr="00D91931" w:rsidRDefault="00B91263" w:rsidP="006A5DF1">
      <w:pPr>
        <w:rPr>
          <w:b/>
          <w:bCs/>
          <w:sz w:val="22"/>
          <w:szCs w:val="22"/>
        </w:rPr>
      </w:pPr>
      <w:r w:rsidRPr="00B91263">
        <w:rPr>
          <w:b/>
          <w:bCs/>
          <w:sz w:val="22"/>
          <w:szCs w:val="22"/>
        </w:rPr>
        <w:t>Dział Zamówień Publicznych</w:t>
      </w:r>
    </w:p>
    <w:p w:rsidR="006A5DF1" w:rsidRPr="00BD5546" w:rsidRDefault="00B91263" w:rsidP="006A5DF1">
      <w:pPr>
        <w:rPr>
          <w:sz w:val="22"/>
          <w:szCs w:val="22"/>
        </w:rPr>
      </w:pPr>
      <w:r w:rsidRPr="00B9126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91263">
        <w:rPr>
          <w:sz w:val="22"/>
          <w:szCs w:val="22"/>
        </w:rPr>
        <w:t>30</w:t>
      </w:r>
    </w:p>
    <w:p w:rsidR="006A5DF1" w:rsidRPr="00BD5546" w:rsidRDefault="00B91263" w:rsidP="006A5DF1">
      <w:pPr>
        <w:rPr>
          <w:sz w:val="22"/>
          <w:szCs w:val="22"/>
        </w:rPr>
      </w:pPr>
      <w:r w:rsidRPr="00B9126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9126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275E3F">
        <w:rPr>
          <w:sz w:val="22"/>
          <w:szCs w:val="22"/>
        </w:rPr>
        <w:t>:</w:t>
      </w:r>
      <w:r w:rsidRPr="00275E3F">
        <w:rPr>
          <w:b/>
          <w:bCs/>
          <w:sz w:val="22"/>
          <w:szCs w:val="22"/>
        </w:rPr>
        <w:t xml:space="preserve"> </w:t>
      </w:r>
      <w:r w:rsidR="00275E3F" w:rsidRPr="00275E3F">
        <w:rPr>
          <w:bCs/>
          <w:sz w:val="22"/>
          <w:szCs w:val="22"/>
        </w:rPr>
        <w:t>KC-zp.272-319/23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91263" w:rsidRPr="00B9126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91263" w:rsidRPr="00B91263">
        <w:rPr>
          <w:b/>
          <w:bCs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91263" w:rsidRPr="00B91263">
        <w:rPr>
          <w:b/>
          <w:sz w:val="22"/>
          <w:szCs w:val="22"/>
        </w:rPr>
        <w:t>KC-zp.272-319/23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1263" w:rsidRPr="006A5DF1" w:rsidTr="00D3736A">
        <w:tc>
          <w:tcPr>
            <w:tcW w:w="9356" w:type="dxa"/>
            <w:shd w:val="clear" w:color="auto" w:fill="auto"/>
          </w:tcPr>
          <w:p w:rsidR="00B91263" w:rsidRPr="00B91263" w:rsidRDefault="00275E3F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</w:p>
          <w:p w:rsidR="00B91263" w:rsidRPr="00275E3F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 xml:space="preserve">W </w:t>
            </w:r>
            <w:r w:rsidRPr="00275E3F">
              <w:rPr>
                <w:sz w:val="22"/>
                <w:szCs w:val="22"/>
              </w:rPr>
              <w:t>nawiązaniu do postępowania załącznik A Specyfikacja sieci międzyregionalnej, pkt. 5 oraz Tabela.2 prosimy o potwierdzenie, że wszystkie terminale mają być zgodne z regulacjami oraz wytycznymi regulacyjnymi obowiązującymi dla rzeczonego typu sprzętu na terenie Unii Europejskiej oraz Polski.</w:t>
            </w:r>
          </w:p>
          <w:p w:rsidR="00B91263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275E3F">
              <w:rPr>
                <w:b/>
                <w:sz w:val="22"/>
                <w:szCs w:val="22"/>
                <w:u w:val="single"/>
              </w:rPr>
              <w:t>Odpowiedź:</w:t>
            </w:r>
          </w:p>
          <w:p w:rsidR="00275E3F" w:rsidRPr="00275E3F" w:rsidRDefault="00275E3F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E3F">
              <w:rPr>
                <w:sz w:val="22"/>
                <w:szCs w:val="22"/>
              </w:rPr>
              <w:t>Tak, urządzenia mają być zgodnie z przepisami prawa lub umożliwiać uruchomienie/zmianę oprogramowania na zgodną. Jeżeli użycie urządzeń wymaga uzyskania dodatkowych pozwoleń, pozostaje to po stronie Zamawiającego.</w:t>
            </w:r>
          </w:p>
          <w:p w:rsidR="00E62053" w:rsidRDefault="00E62053" w:rsidP="00D3736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5E3F" w:rsidRDefault="00275E3F" w:rsidP="00D3736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2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E3F">
              <w:rPr>
                <w:sz w:val="22"/>
                <w:szCs w:val="22"/>
              </w:rPr>
              <w:t>W nawiązaniu do postępowania załącznik A Specyfikacja sieci międzyregionalnej, pkt. 8 treść stanowi „Dla sektorów</w:t>
            </w:r>
            <w:r w:rsidRPr="00B91263">
              <w:rPr>
                <w:sz w:val="22"/>
                <w:szCs w:val="22"/>
              </w:rPr>
              <w:t>, które zbudowane z w oparciu o zamawiane głowice radiowe przeznaczone do pracy w pasmach n258, z uwagi na dostępność terminali, dopuszcza się prezentacji działania przy uruchomieniu trybu 5G NSA, z wykorzystaniem tzw. kotwicy (</w:t>
            </w:r>
            <w:proofErr w:type="spellStart"/>
            <w:r w:rsidRPr="00B91263">
              <w:rPr>
                <w:sz w:val="22"/>
                <w:szCs w:val="22"/>
              </w:rPr>
              <w:t>anchor</w:t>
            </w:r>
            <w:proofErr w:type="spellEnd"/>
            <w:r w:rsidRPr="00B91263">
              <w:rPr>
                <w:sz w:val="22"/>
                <w:szCs w:val="22"/>
              </w:rPr>
              <w:t>) w paśmie 3900-3980MHz.”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>a.</w:t>
            </w:r>
            <w:r w:rsidR="00E62053">
              <w:rPr>
                <w:sz w:val="22"/>
                <w:szCs w:val="22"/>
              </w:rPr>
              <w:t xml:space="preserve"> </w:t>
            </w:r>
            <w:r w:rsidRPr="00B91263">
              <w:rPr>
                <w:sz w:val="22"/>
                <w:szCs w:val="22"/>
              </w:rPr>
              <w:t>Zgodnie z Naszą najlepszą wiedzą nie ma komercyjnego rozwiązania CPE (Telefonu, tabletu, routera) umożliwiającego przeprowadzenie w miejscu instalacji urządzeń nadawczo odbiorczych sieci międzyregionalnej testów wskazanych w tym fragmencie.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lastRenderedPageBreak/>
              <w:t>Czy zamawiający bezwzględnie wymaga prezentacji takiej możliwości?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>b. W związku z brakiem definicji i normalizacji kombinacji NSA n77 + n258 przez 3GPP, a także brakiem normalizacji Pasma LTE w częstotliwościach 3800-3900MHz oraz brakiem definicji pasma 3900-3980MHz.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>Prosimy o zmianę zapisu na formę „Dla sektorów, które zbudowane z w oparciu o zamawiane głowice radiowe przeznaczone do pracy w pasmach n258, z uwagi na dostępność terminali, dopuszcza się prezentację działania przy uruchomieniu trybu 5G NSA lub 5G SA, z wykorzystaniem tzw. kotwicy (</w:t>
            </w:r>
            <w:proofErr w:type="spellStart"/>
            <w:r w:rsidRPr="00B91263">
              <w:rPr>
                <w:sz w:val="22"/>
                <w:szCs w:val="22"/>
              </w:rPr>
              <w:t>anchor</w:t>
            </w:r>
            <w:proofErr w:type="spellEnd"/>
            <w:r w:rsidRPr="00B91263">
              <w:rPr>
                <w:sz w:val="22"/>
                <w:szCs w:val="22"/>
              </w:rPr>
              <w:t>).”</w:t>
            </w:r>
          </w:p>
          <w:p w:rsidR="00B91263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275E3F">
              <w:rPr>
                <w:b/>
                <w:sz w:val="22"/>
                <w:szCs w:val="22"/>
                <w:u w:val="single"/>
              </w:rPr>
              <w:t>Odpowiedź:</w:t>
            </w:r>
          </w:p>
          <w:p w:rsidR="00275E3F" w:rsidRPr="00B91263" w:rsidRDefault="00275E3F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E3F">
              <w:rPr>
                <w:sz w:val="22"/>
                <w:szCs w:val="22"/>
              </w:rPr>
              <w:t>Intencją zamawiającego jest możliwość zaprezentowania przez Wykonawcę działania wszystkich instalowanych komponentów systemu. W rozumieniu zamawiającego aktualny opis obejmuje również to co zawiera się w proponowanym opisie.</w:t>
            </w:r>
          </w:p>
          <w:p w:rsidR="00E62053" w:rsidRDefault="00E62053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275E3F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275E3F">
              <w:rPr>
                <w:b/>
                <w:sz w:val="22"/>
                <w:szCs w:val="22"/>
              </w:rPr>
              <w:t>Pytanie nr 3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 xml:space="preserve">W nawiązaniu do dokumentu „SWZ - na dostawę i usługi procedura pełna, pkt. 22.2, Kryterium 2.6” mające brzmienie: „Obsługa </w:t>
            </w:r>
            <w:proofErr w:type="spellStart"/>
            <w:r w:rsidRPr="00B91263">
              <w:rPr>
                <w:sz w:val="22"/>
                <w:szCs w:val="22"/>
              </w:rPr>
              <w:t>Slice</w:t>
            </w:r>
            <w:proofErr w:type="spellEnd"/>
            <w:r w:rsidRPr="00B91263">
              <w:rPr>
                <w:sz w:val="22"/>
                <w:szCs w:val="22"/>
              </w:rPr>
              <w:t xml:space="preserve"> poprzez komponent NSSF”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 xml:space="preserve">Wnosimy o wykreślenie zapisu, gdyż zgodnie z Naszą najlepszą wiedzą NSSF czyli Network </w:t>
            </w:r>
            <w:proofErr w:type="spellStart"/>
            <w:r w:rsidRPr="00B91263">
              <w:rPr>
                <w:sz w:val="22"/>
                <w:szCs w:val="22"/>
              </w:rPr>
              <w:t>Slice</w:t>
            </w:r>
            <w:proofErr w:type="spellEnd"/>
            <w:r w:rsidRPr="00B91263">
              <w:rPr>
                <w:sz w:val="22"/>
                <w:szCs w:val="22"/>
              </w:rPr>
              <w:t xml:space="preserve"> </w:t>
            </w:r>
            <w:proofErr w:type="spellStart"/>
            <w:r w:rsidRPr="00B91263">
              <w:rPr>
                <w:sz w:val="22"/>
                <w:szCs w:val="22"/>
              </w:rPr>
              <w:t>Selection</w:t>
            </w:r>
            <w:proofErr w:type="spellEnd"/>
            <w:r w:rsidRPr="00B91263">
              <w:rPr>
                <w:sz w:val="22"/>
                <w:szCs w:val="22"/>
              </w:rPr>
              <w:t xml:space="preserve"> </w:t>
            </w:r>
            <w:proofErr w:type="spellStart"/>
            <w:r w:rsidRPr="00B91263">
              <w:rPr>
                <w:sz w:val="22"/>
                <w:szCs w:val="22"/>
              </w:rPr>
              <w:t>Function</w:t>
            </w:r>
            <w:proofErr w:type="spellEnd"/>
            <w:r w:rsidRPr="00B91263">
              <w:rPr>
                <w:sz w:val="22"/>
                <w:szCs w:val="22"/>
              </w:rPr>
              <w:t xml:space="preserve"> w trybie autonomicznym zdefiniowane w 3GPP SBA jest funkcjonalności stosowaną, choć rzadko używaną przez operatorów telekomunikacyjnych, a nie prywatne sieci 5G gdzie w przypadku tworzenia </w:t>
            </w:r>
            <w:proofErr w:type="spellStart"/>
            <w:r w:rsidRPr="00B91263">
              <w:rPr>
                <w:sz w:val="22"/>
                <w:szCs w:val="22"/>
              </w:rPr>
              <w:t>slice</w:t>
            </w:r>
            <w:proofErr w:type="spellEnd"/>
            <w:r w:rsidRPr="00B91263">
              <w:rPr>
                <w:sz w:val="22"/>
                <w:szCs w:val="22"/>
              </w:rPr>
              <w:t xml:space="preserve"> używane są mechanizmy manualne.</w:t>
            </w:r>
          </w:p>
          <w:p w:rsidR="00B91263" w:rsidRPr="00275E3F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 xml:space="preserve">Nawet do tego stopnia liderzy rozwiązań telekomunikacyjnych nie tylko do budowy sieci, ale także producentów terminali zauważa taką potrzebę i jednym ze scenariuszy dla sieci prywatnych rozważana jest </w:t>
            </w:r>
            <w:r w:rsidRPr="00275E3F">
              <w:rPr>
                <w:sz w:val="22"/>
                <w:szCs w:val="22"/>
              </w:rPr>
              <w:t xml:space="preserve">realizacja takiej na poziomie CPE oraz systemu zarządzana do nich bazując na lokalizacji GPS ( aktywacja i </w:t>
            </w:r>
            <w:proofErr w:type="spellStart"/>
            <w:r w:rsidRPr="00275E3F">
              <w:rPr>
                <w:sz w:val="22"/>
                <w:szCs w:val="22"/>
              </w:rPr>
              <w:t>deaktywacja</w:t>
            </w:r>
            <w:proofErr w:type="spellEnd"/>
            <w:r w:rsidRPr="00275E3F">
              <w:rPr>
                <w:sz w:val="22"/>
                <w:szCs w:val="22"/>
              </w:rPr>
              <w:t xml:space="preserve"> </w:t>
            </w:r>
            <w:proofErr w:type="spellStart"/>
            <w:r w:rsidRPr="00275E3F">
              <w:rPr>
                <w:sz w:val="22"/>
                <w:szCs w:val="22"/>
              </w:rPr>
              <w:t>eSIM</w:t>
            </w:r>
            <w:proofErr w:type="spellEnd"/>
            <w:r w:rsidRPr="00275E3F">
              <w:rPr>
                <w:sz w:val="22"/>
                <w:szCs w:val="22"/>
              </w:rPr>
              <w:t xml:space="preserve">).  </w:t>
            </w:r>
          </w:p>
          <w:p w:rsidR="00B91263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275E3F">
              <w:rPr>
                <w:b/>
                <w:sz w:val="22"/>
                <w:szCs w:val="22"/>
                <w:u w:val="single"/>
              </w:rPr>
              <w:t>Odpowiedź</w:t>
            </w:r>
          </w:p>
          <w:p w:rsidR="00275E3F" w:rsidRPr="00275E3F" w:rsidRDefault="00275E3F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E3F">
              <w:rPr>
                <w:sz w:val="22"/>
                <w:szCs w:val="22"/>
              </w:rPr>
              <w:t xml:space="preserve">Przedmiot zamówienia ma być elementem infrastruktury badawczej. Planowane scenariusze obejmują również rozwiązania nietypowe i rzadko stosowane. Wymaganie „Obsługa </w:t>
            </w:r>
            <w:proofErr w:type="spellStart"/>
            <w:r w:rsidRPr="00275E3F">
              <w:rPr>
                <w:sz w:val="22"/>
                <w:szCs w:val="22"/>
              </w:rPr>
              <w:t>Slice</w:t>
            </w:r>
            <w:proofErr w:type="spellEnd"/>
            <w:r w:rsidRPr="00275E3F">
              <w:rPr>
                <w:sz w:val="22"/>
                <w:szCs w:val="22"/>
              </w:rPr>
              <w:t xml:space="preserve"> poprzez komponent NSSF” jest opcjonalne i dodatkowo punktowane. Zamawiający nie widzi potrzeby wykreślenia tego wymagania.</w:t>
            </w:r>
          </w:p>
          <w:p w:rsidR="00E62053" w:rsidRDefault="00E62053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91263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275E3F">
              <w:rPr>
                <w:b/>
                <w:sz w:val="22"/>
                <w:szCs w:val="22"/>
              </w:rPr>
              <w:t>Pytanie nr 4</w:t>
            </w:r>
          </w:p>
          <w:p w:rsidR="00B91263" w:rsidRPr="00B91263" w:rsidRDefault="00B91263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263">
              <w:rPr>
                <w:sz w:val="22"/>
                <w:szCs w:val="22"/>
              </w:rPr>
              <w:t>Prosimy o udostępnienie planów (konstrukcyjnych) serwerowni i budynków wszystkich lokalizacji w celu przygotowania projektów wykonawczych.</w:t>
            </w:r>
          </w:p>
          <w:p w:rsidR="00B91263" w:rsidRPr="00275E3F" w:rsidRDefault="00275E3F" w:rsidP="00D3736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275E3F">
              <w:rPr>
                <w:b/>
                <w:sz w:val="22"/>
                <w:szCs w:val="22"/>
                <w:u w:val="single"/>
              </w:rPr>
              <w:t>Odpowiedź</w:t>
            </w:r>
          </w:p>
          <w:p w:rsidR="00275E3F" w:rsidRPr="00275E3F" w:rsidRDefault="00275E3F" w:rsidP="00D3736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5E3F">
              <w:rPr>
                <w:sz w:val="22"/>
                <w:szCs w:val="22"/>
              </w:rPr>
              <w:t>Plany zostaną udostępnione po wyborze oferenta. W celu dokonania oszacowań była możliwość przeprowadzenia wizji lokalnych.</w:t>
            </w:r>
          </w:p>
          <w:p w:rsidR="00E62053" w:rsidRDefault="00E62053" w:rsidP="00D3736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91263" w:rsidRPr="00C64FF8" w:rsidRDefault="00C64FF8" w:rsidP="00D3736A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C64FF8">
              <w:rPr>
                <w:b/>
                <w:sz w:val="22"/>
                <w:szCs w:val="22"/>
              </w:rPr>
              <w:t>Pytanie nr 5</w:t>
            </w:r>
          </w:p>
          <w:p w:rsidR="00C64FF8" w:rsidRPr="00C64FF8" w:rsidRDefault="00C64FF8" w:rsidP="00C64FF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64FF8">
              <w:rPr>
                <w:sz w:val="22"/>
                <w:szCs w:val="22"/>
              </w:rPr>
              <w:t>W nawiązaniu do Wzoru Umowy Załącznik nr 3.</w:t>
            </w:r>
          </w:p>
          <w:p w:rsidR="00C64FF8" w:rsidRPr="00B91263" w:rsidRDefault="00C64FF8" w:rsidP="00C64FF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64FF8">
              <w:rPr>
                <w:sz w:val="22"/>
                <w:szCs w:val="22"/>
              </w:rPr>
              <w:t>Zamawiający przewidział, że wykonanie przedmiotu zamówienia ma nastąpić do dnia 31.10.2023 r., przy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 xml:space="preserve">czym Ogłoszenie o zamówieniu zostało opublikowane dopiero w dniu 20.06.2023 r., z terminem </w:t>
            </w:r>
            <w:r w:rsidRPr="00C64FF8">
              <w:rPr>
                <w:sz w:val="22"/>
                <w:szCs w:val="22"/>
              </w:rPr>
              <w:lastRenderedPageBreak/>
              <w:t>składania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ofert wyznaczonym na dzień 17.07.2023 r. Oznacza to, że na przeprowadzenie postępowania, zawarcie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umowy i realizację zamówienia (zakładającego konieczność zamówienia, dostawy sprzętu oraz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przeprowadzenie skomplikowanych prac wdrożeniowych) pozostało zaledwie 3,5 miesiąca – jest to rażąco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krótki termin na wykonanie dostaw i przeprowadzenie wdrożenia, szczególnie że wykonawca nie ma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wpływu na długość trwania postępowania ani na termin zawarcia umowy. Mając na uwadze nakaz art. 436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 xml:space="preserve">pkt 1 </w:t>
            </w:r>
            <w:proofErr w:type="spellStart"/>
            <w:r w:rsidRPr="00C64FF8">
              <w:rPr>
                <w:sz w:val="22"/>
                <w:szCs w:val="22"/>
              </w:rPr>
              <w:t>Pzp</w:t>
            </w:r>
            <w:proofErr w:type="spellEnd"/>
            <w:r w:rsidRPr="00C64FF8">
              <w:rPr>
                <w:sz w:val="22"/>
                <w:szCs w:val="22"/>
              </w:rPr>
              <w:t>, zgodnie z którym termin wykonania umowy powinno określać się jako okres liczony od dnia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zawarcia umowy oraz okoliczność, iż to Zamawiający ponosi odpowiedzialność za termin wszczęcia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postępowania oraz sprawność jego przeprowadzania, wnosimy o zmianę terminu wykonania przedmiotu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zamówienia na 4 miesiące liczone od dnia zawarcia umowy jednak nie później niż do dnia 15 grudnia 2023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roku. Zwracamy uwagę, iż wykonawca składając ofertę bierze na siebie ryzyko związane z terminową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realizacją zamówienia, natomiast w sytuacji, w której czas pozostały pomiędzy zawarciem umowy 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wpisanym w umowie terminem realizacji będzie nierealny, wykonawca nie będzie mieć możliwości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zawarcia takiej umowy bez narażania swojej spółki na dotkliwe konsekwencje związane z niedochowaniem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terminów (Zamawiający przewidział wysokie kary umowne oraz możliwość odstąpienia). Poza tym, żadna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ze stron nie ma wpływu na długość trwania postępowania w przypadku, w którym wniesione zostaną środki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odwoławcze. W celu zmniejszenia ww. ryzyka do stopnia, który umożliwi Wykonawcy przystąpienie do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postępowania i złożenie oferty, prosimy o wprowadzenie ww. zmiany w zakresie terminu wykonania</w:t>
            </w:r>
            <w:r>
              <w:rPr>
                <w:sz w:val="22"/>
                <w:szCs w:val="22"/>
              </w:rPr>
              <w:t xml:space="preserve"> </w:t>
            </w:r>
            <w:r w:rsidRPr="00C64FF8">
              <w:rPr>
                <w:sz w:val="22"/>
                <w:szCs w:val="22"/>
              </w:rPr>
              <w:t>zamówienia.</w:t>
            </w:r>
          </w:p>
        </w:tc>
      </w:tr>
    </w:tbl>
    <w:p w:rsidR="00BE7BFD" w:rsidRPr="00C64FF8" w:rsidRDefault="00C64FF8" w:rsidP="00520165">
      <w:pPr>
        <w:jc w:val="both"/>
        <w:rPr>
          <w:b/>
          <w:sz w:val="22"/>
          <w:szCs w:val="22"/>
          <w:u w:val="single"/>
        </w:rPr>
      </w:pPr>
      <w:r w:rsidRPr="00C64FF8">
        <w:rPr>
          <w:b/>
          <w:sz w:val="22"/>
          <w:szCs w:val="22"/>
          <w:u w:val="single"/>
        </w:rPr>
        <w:lastRenderedPageBreak/>
        <w:t>Odpowiedź</w:t>
      </w:r>
    </w:p>
    <w:p w:rsidR="00C64FF8" w:rsidRPr="006A5DF1" w:rsidRDefault="00C64FF8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udzieli odpowiedzi na pytanie nr 5 w późniejszym terminie.</w:t>
      </w:r>
    </w:p>
    <w:sectPr w:rsidR="00C64FF8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C01" w:rsidRDefault="00B45C01">
      <w:r>
        <w:separator/>
      </w:r>
    </w:p>
  </w:endnote>
  <w:endnote w:type="continuationSeparator" w:id="0">
    <w:p w:rsidR="00B45C01" w:rsidRDefault="00B4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620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C01" w:rsidRDefault="00B45C01">
      <w:r>
        <w:separator/>
      </w:r>
    </w:p>
  </w:footnote>
  <w:footnote w:type="continuationSeparator" w:id="0">
    <w:p w:rsidR="00B45C01" w:rsidRDefault="00B45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263" w:rsidRDefault="00B912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E3F" w:rsidRPr="00275E3F" w:rsidRDefault="00C64FF8" w:rsidP="00275E3F">
    <w:pPr>
      <w:widowControl w:val="0"/>
      <w:tabs>
        <w:tab w:val="center" w:pos="4536"/>
        <w:tab w:val="right" w:pos="9072"/>
      </w:tabs>
      <w:rPr>
        <w:noProof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:rsidR="00275E3F" w:rsidRPr="00275E3F" w:rsidRDefault="00275E3F" w:rsidP="00275E3F">
    <w:pPr>
      <w:jc w:val="center"/>
      <w:rPr>
        <w:sz w:val="18"/>
        <w:szCs w:val="18"/>
      </w:rPr>
    </w:pPr>
    <w:r w:rsidRPr="00275E3F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:rsidR="00B91263" w:rsidRDefault="00B912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263" w:rsidRDefault="00B912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C01"/>
    <w:rsid w:val="00031374"/>
    <w:rsid w:val="000A1097"/>
    <w:rsid w:val="000E2A8F"/>
    <w:rsid w:val="0012774F"/>
    <w:rsid w:val="00144B7A"/>
    <w:rsid w:val="00180C6E"/>
    <w:rsid w:val="001D75AC"/>
    <w:rsid w:val="00275E3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45C01"/>
    <w:rsid w:val="00B91263"/>
    <w:rsid w:val="00BA6584"/>
    <w:rsid w:val="00BB55D0"/>
    <w:rsid w:val="00BE7BFD"/>
    <w:rsid w:val="00C370F2"/>
    <w:rsid w:val="00C44EEC"/>
    <w:rsid w:val="00C64FF8"/>
    <w:rsid w:val="00CF0649"/>
    <w:rsid w:val="00D22FFA"/>
    <w:rsid w:val="00D8461B"/>
    <w:rsid w:val="00D9049C"/>
    <w:rsid w:val="00D915F2"/>
    <w:rsid w:val="00DF32E8"/>
    <w:rsid w:val="00E21B49"/>
    <w:rsid w:val="00E2789F"/>
    <w:rsid w:val="00E6205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5988A98"/>
  <w15:chartTrackingRefBased/>
  <w15:docId w15:val="{FFB2FFF8-AA6C-461E-B630-A43414B4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844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7</cp:revision>
  <cp:lastPrinted>2001-02-10T14:28:00Z</cp:lastPrinted>
  <dcterms:created xsi:type="dcterms:W3CDTF">2023-07-06T11:43:00Z</dcterms:created>
  <dcterms:modified xsi:type="dcterms:W3CDTF">2023-07-06T12:16:00Z</dcterms:modified>
</cp:coreProperties>
</file>