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28B00" w14:textId="77777777" w:rsidR="00190D0B" w:rsidRPr="006349D9" w:rsidRDefault="00CE46B6" w:rsidP="006349D9">
      <w:pPr>
        <w:pStyle w:val="Nagwek1"/>
        <w:jc w:val="left"/>
        <w:rPr>
          <w:rFonts w:asciiTheme="majorHAnsi" w:hAnsiTheme="majorHAnsi"/>
          <w:color w:val="2F5496" w:themeColor="accent1" w:themeShade="BF"/>
          <w:sz w:val="32"/>
        </w:rPr>
      </w:pPr>
      <w:r w:rsidRPr="006349D9">
        <w:rPr>
          <w:rFonts w:asciiTheme="majorHAnsi" w:hAnsiTheme="majorHAnsi"/>
          <w:color w:val="2F5496" w:themeColor="accent1" w:themeShade="BF"/>
          <w:sz w:val="32"/>
        </w:rPr>
        <w:t>Specyfikacja techniczna urządzeń radiowych dla sieci RAN systemu 5G dla PW</w:t>
      </w:r>
    </w:p>
    <w:p w14:paraId="046B449D" w14:textId="77777777" w:rsidR="00190D0B" w:rsidRDefault="00190D0B"/>
    <w:p w14:paraId="2233E4B3" w14:textId="6480A51B" w:rsidR="00190D0B" w:rsidRDefault="00CE46B6">
      <w:r>
        <w:t xml:space="preserve">Niniejszy załącznik przedstawia wymagane, minimalne parametry urządzeń radiowych, które będą wskazane w rozdziale </w:t>
      </w:r>
      <w:r w:rsidR="00DA0BFA">
        <w:t>4</w:t>
      </w:r>
      <w:r>
        <w:t xml:space="preserve"> jako elementy sieci RAN do instalacji w wyznaczonych lokalizacjach. Specyfikacja nie zawiera opisu urządzeń dodatkowych, jakie będą musiały zostać zainstalowane by podłączyć wszystkie głowice radiowe z wszystkich obiektów do wspólnego rdzenia sieci, zainstalowanego w</w:t>
      </w:r>
      <w:bookmarkStart w:id="0" w:name="_GoBack"/>
      <w:bookmarkEnd w:id="0"/>
      <w:r>
        <w:t xml:space="preserve"> serwerowni zlokalizowanej w Poznańskim Centrum Superkomputerowo-Sieciowym.</w:t>
      </w:r>
    </w:p>
    <w:p w14:paraId="3BD95A34" w14:textId="77777777" w:rsidR="00190D0B" w:rsidRDefault="00CE46B6">
      <w:pPr>
        <w:pStyle w:val="Nagwek2"/>
      </w:pPr>
      <w:r>
        <w:t>Głowica radiowa (urządzenie do bezprzewodowej transmisji danych) typu E</w:t>
      </w:r>
    </w:p>
    <w:p w14:paraId="1C66590E" w14:textId="77777777" w:rsidR="00190D0B" w:rsidRDefault="00CE46B6" w:rsidP="00CE46B6">
      <w:pPr>
        <w:pStyle w:val="Akapitzlist"/>
        <w:numPr>
          <w:ilvl w:val="0"/>
          <w:numId w:val="2"/>
        </w:numPr>
      </w:pPr>
      <w:r>
        <w:t>Parametry techniczne głowicy: zgodnie z opisem głowicy typu E w dokumencie „Specyfikacja sieci międzyregionalnej”;</w:t>
      </w:r>
    </w:p>
    <w:p w14:paraId="1D733199" w14:textId="77777777" w:rsidR="00190D0B" w:rsidRDefault="00CE46B6" w:rsidP="00CE46B6">
      <w:pPr>
        <w:pStyle w:val="Akapitzlist"/>
        <w:numPr>
          <w:ilvl w:val="0"/>
          <w:numId w:val="2"/>
        </w:numPr>
      </w:pPr>
      <w:r>
        <w:t>Łączna liczba sztuk: 2, z montażem we własnej lokalizacji.</w:t>
      </w:r>
    </w:p>
    <w:p w14:paraId="6742874E" w14:textId="77777777" w:rsidR="00190D0B" w:rsidRDefault="00190D0B">
      <w:pPr>
        <w:pStyle w:val="Akapitzlist"/>
        <w:ind w:left="1428"/>
      </w:pPr>
    </w:p>
    <w:p w14:paraId="7E4DBB89" w14:textId="77777777" w:rsidR="00190D0B" w:rsidRDefault="00CE46B6">
      <w:pPr>
        <w:pStyle w:val="Nagwek1"/>
      </w:pPr>
      <w:r>
        <w:t>Opis wymagań oraz miejsc instalacji elementów sieci RAN systemu 5G dla PW</w:t>
      </w:r>
    </w:p>
    <w:p w14:paraId="07206ECF" w14:textId="77777777" w:rsidR="00190D0B" w:rsidRDefault="00CE46B6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color w:val="000000"/>
        </w:rPr>
        <w:t> </w:t>
      </w:r>
    </w:p>
    <w:p w14:paraId="0247AE61" w14:textId="77777777" w:rsidR="00190D0B" w:rsidRDefault="00CE46B6">
      <w:pPr>
        <w:pStyle w:val="Nagwek2"/>
        <w:rPr>
          <w:rStyle w:val="eop"/>
          <w:rFonts w:eastAsia="Times New Roman"/>
        </w:rPr>
      </w:pPr>
      <w:r>
        <w:rPr>
          <w:rStyle w:val="normaltextrun"/>
        </w:rPr>
        <w:t>Poznańskie Centrum Superkomputerowo-Sieciowe, Budynek Sal Technologicznych (BST) przy ul. Jana Pawła II 10 Poznań</w:t>
      </w:r>
      <w:r>
        <w:rPr>
          <w:rStyle w:val="eop"/>
        </w:rPr>
        <w:t> </w:t>
      </w:r>
    </w:p>
    <w:p w14:paraId="12F9750A" w14:textId="77777777" w:rsidR="00190D0B" w:rsidRDefault="00CE46B6">
      <w:r>
        <w:rPr>
          <w:i/>
        </w:rPr>
        <w:t xml:space="preserve">Uwaga: specyfikacje techniczne, opisy wymagań oraz miejsca instalacji elementów sieci RAN  systemu 5G dla PW oraz dla PCSS są tożsame w zakresie dotyczącym lokalizacji w PCSS BST </w:t>
      </w:r>
      <w:r>
        <w:rPr>
          <w:rStyle w:val="normaltextrun"/>
          <w:i/>
        </w:rPr>
        <w:t>ul. Jana Pawła II 10 Poznań</w:t>
      </w:r>
      <w:r>
        <w:rPr>
          <w:rStyle w:val="eop"/>
        </w:rPr>
        <w:t xml:space="preserve">. </w:t>
      </w:r>
    </w:p>
    <w:p w14:paraId="070BC426" w14:textId="77777777" w:rsidR="00190D0B" w:rsidRDefault="00190D0B">
      <w:pPr>
        <w:pStyle w:val="paragraph"/>
        <w:spacing w:before="0" w:beforeAutospacing="0" w:after="0" w:afterAutospacing="0"/>
        <w:jc w:val="both"/>
      </w:pPr>
    </w:p>
    <w:p w14:paraId="6970A32B" w14:textId="77777777" w:rsidR="00190D0B" w:rsidRDefault="00190D0B">
      <w:pPr>
        <w:pStyle w:val="paragraph"/>
        <w:spacing w:before="0" w:beforeAutospacing="0" w:after="0" w:afterAutospacing="0"/>
        <w:jc w:val="both"/>
      </w:pPr>
    </w:p>
    <w:p w14:paraId="21309FC2" w14:textId="020A6529" w:rsidR="00190D0B" w:rsidRDefault="00CE46B6">
      <w:pPr>
        <w:pStyle w:val="paragraph"/>
        <w:spacing w:before="0" w:beforeAutospacing="0" w:after="0" w:afterAutospacing="0"/>
        <w:jc w:val="both"/>
        <w:rPr>
          <w:rFonts w:ascii="Segoe UI" w:hAnsi="Segoe UI" w:cs="Segoe UI"/>
        </w:rPr>
      </w:pPr>
      <w:r>
        <w:rPr>
          <w:rStyle w:val="normaltextrun"/>
          <w:rFonts w:eastAsiaTheme="majorEastAsia"/>
          <w:color w:val="000000"/>
        </w:rPr>
        <w:t xml:space="preserve">W ramach tej lokalizacji wymagana jest dostawa oraz instalacja elementów radiowej sieci laboratoryjnej w Serwerowni Poznańskiego Centrum Superkomputerowo-Sieciowego w Budynku Sal Technologicznych (BST) przy ul. Jana Pawła II 10 w Poznaniu. Zamawiający wymaga, aby </w:t>
      </w:r>
      <w:r w:rsidR="00BC7F44">
        <w:rPr>
          <w:rStyle w:val="normaltextrun"/>
          <w:rFonts w:eastAsiaTheme="majorEastAsia"/>
          <w:color w:val="000000"/>
        </w:rPr>
        <w:t>Wykonawca</w:t>
      </w:r>
      <w:r>
        <w:rPr>
          <w:rStyle w:val="normaltextrun"/>
          <w:rFonts w:eastAsiaTheme="majorEastAsia"/>
          <w:color w:val="000000"/>
        </w:rPr>
        <w:t xml:space="preserve"> zaprojektował oraz zainstalował wszystkie niezbędne elementy potrzebne do prawidłowego montażu oraz eksploatacji elementów laboratoryjnej sieci radiowej, z zachowaniem niezbędnych norm budowlanych, elektrycznych oraz elektromagnetycznych.</w:t>
      </w:r>
      <w:r>
        <w:rPr>
          <w:rStyle w:val="eop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Radiowa sieć laboratoryjna musi zapewnić dwa niezależne sektory z technologią MIMO 4x4 z wykorzystaniem głowicy typu E z zastrzeżeniem dostępu do toru radiowego w celu wyprowadzenia sygnału radiowego na złącza SMA.</w:t>
      </w:r>
      <w:r>
        <w:rPr>
          <w:rStyle w:val="eop"/>
          <w:rFonts w:eastAsiaTheme="majorEastAsia"/>
        </w:rPr>
        <w:t> </w:t>
      </w:r>
    </w:p>
    <w:p w14:paraId="616DA7F9" w14:textId="77777777" w:rsidR="00190D0B" w:rsidRDefault="00190D0B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46D1D4C5" w14:textId="77777777" w:rsidR="00190D0B" w:rsidRDefault="00190D0B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7ADC772F" w14:textId="77777777" w:rsidR="00190D0B" w:rsidRDefault="00CE46B6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</w:rPr>
      </w:pPr>
      <w:r>
        <w:rPr>
          <w:rStyle w:val="normaltextrun"/>
          <w:rFonts w:eastAsiaTheme="majorEastAsia"/>
        </w:rPr>
        <w:t xml:space="preserve">Zamawiający, w celu wykonania instalacji, zapewnia </w:t>
      </w:r>
      <w:r>
        <w:rPr>
          <w:rStyle w:val="normaltextrun"/>
          <w:rFonts w:eastAsiaTheme="majorEastAsia"/>
          <w:color w:val="000000"/>
        </w:rPr>
        <w:t xml:space="preserve">realizację zadań opisanych w pkt 6.1 dokumentu „Specyfikacja sieci </w:t>
      </w:r>
      <w:proofErr w:type="spellStart"/>
      <w:r>
        <w:rPr>
          <w:rStyle w:val="normaltextrun"/>
          <w:rFonts w:eastAsiaTheme="majorEastAsia"/>
          <w:color w:val="000000"/>
        </w:rPr>
        <w:t>miedzyregionalnej</w:t>
      </w:r>
      <w:proofErr w:type="spellEnd"/>
      <w:r>
        <w:rPr>
          <w:rStyle w:val="normaltextrun"/>
          <w:rFonts w:eastAsiaTheme="majorEastAsia"/>
          <w:color w:val="000000"/>
        </w:rPr>
        <w:t>”,  w tym w szczególności</w:t>
      </w:r>
      <w:r>
        <w:rPr>
          <w:rStyle w:val="normaltextrun"/>
          <w:rFonts w:eastAsiaTheme="majorEastAsia"/>
        </w:rPr>
        <w:t>:</w:t>
      </w:r>
      <w:r>
        <w:rPr>
          <w:rStyle w:val="eop"/>
          <w:rFonts w:eastAsiaTheme="majorEastAsia"/>
        </w:rPr>
        <w:t> </w:t>
      </w:r>
    </w:p>
    <w:p w14:paraId="76D53C4F" w14:textId="77777777" w:rsidR="00190D0B" w:rsidRDefault="00CE46B6" w:rsidP="00CE46B6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miejsce na instalację urządzeń w przeznaczonym do tego celu pomieszczeniu wyposażonym m.in. w podłogę techniczną z szachtami technicznymi na potrzeby prowadzenia okablowania pomiędzy szafami, klimatyzację, system kontroli dostępu i monitoring,</w:t>
      </w:r>
      <w:r>
        <w:rPr>
          <w:rStyle w:val="eop"/>
          <w:rFonts w:eastAsiaTheme="majorEastAsia"/>
        </w:rPr>
        <w:t> </w:t>
      </w:r>
    </w:p>
    <w:p w14:paraId="6D7794D0" w14:textId="77777777" w:rsidR="00190D0B" w:rsidRDefault="00CE46B6" w:rsidP="00CE46B6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standardowe szafy RACK 19” o wysokości 47U w kiosku, nie więcej niż 24 U na potrzeby montażu BBU i głowic radiowych,</w:t>
      </w:r>
      <w:r>
        <w:rPr>
          <w:rStyle w:val="eop"/>
          <w:rFonts w:eastAsiaTheme="majorEastAsia"/>
        </w:rPr>
        <w:t> </w:t>
      </w:r>
    </w:p>
    <w:p w14:paraId="1F94E1FB" w14:textId="77777777" w:rsidR="00190D0B" w:rsidRDefault="00CE46B6" w:rsidP="00CE46B6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lastRenderedPageBreak/>
        <w:t>każda z szaf teletechnicznych posiada wymiary:</w:t>
      </w:r>
      <w:r>
        <w:rPr>
          <w:rStyle w:val="eop"/>
          <w:rFonts w:eastAsiaTheme="majorEastAsia"/>
        </w:rPr>
        <w:t> </w:t>
      </w:r>
    </w:p>
    <w:p w14:paraId="2DAE1BBF" w14:textId="77777777" w:rsidR="00190D0B" w:rsidRDefault="00CE46B6" w:rsidP="00CE46B6">
      <w:pPr>
        <w:pStyle w:val="paragraph"/>
        <w:numPr>
          <w:ilvl w:val="0"/>
          <w:numId w:val="4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wysokość 47U,</w:t>
      </w:r>
      <w:r>
        <w:rPr>
          <w:rStyle w:val="eop"/>
          <w:rFonts w:eastAsiaTheme="majorEastAsia"/>
        </w:rPr>
        <w:t> </w:t>
      </w:r>
    </w:p>
    <w:p w14:paraId="0B6B45C2" w14:textId="77777777" w:rsidR="00190D0B" w:rsidRDefault="00CE46B6" w:rsidP="00CE46B6">
      <w:pPr>
        <w:pStyle w:val="paragraph"/>
        <w:numPr>
          <w:ilvl w:val="0"/>
          <w:numId w:val="4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szerokość 80cm,</w:t>
      </w:r>
      <w:r>
        <w:rPr>
          <w:rStyle w:val="eop"/>
          <w:rFonts w:eastAsiaTheme="majorEastAsia"/>
        </w:rPr>
        <w:t> </w:t>
      </w:r>
    </w:p>
    <w:p w14:paraId="2D5FCF03" w14:textId="77777777" w:rsidR="00190D0B" w:rsidRDefault="00CE46B6" w:rsidP="00CE46B6">
      <w:pPr>
        <w:pStyle w:val="paragraph"/>
        <w:numPr>
          <w:ilvl w:val="0"/>
          <w:numId w:val="5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głębokość 120cm,</w:t>
      </w:r>
      <w:r>
        <w:rPr>
          <w:rStyle w:val="eop"/>
          <w:rFonts w:eastAsiaTheme="majorEastAsia"/>
        </w:rPr>
        <w:t> </w:t>
      </w:r>
    </w:p>
    <w:p w14:paraId="4F956E05" w14:textId="77777777" w:rsidR="00190D0B" w:rsidRDefault="00CE46B6" w:rsidP="00CE46B6">
      <w:pPr>
        <w:pStyle w:val="paragraph"/>
        <w:numPr>
          <w:ilvl w:val="0"/>
          <w:numId w:val="5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nośność szafy 1500kg,</w:t>
      </w:r>
      <w:r>
        <w:rPr>
          <w:rStyle w:val="eop"/>
          <w:rFonts w:eastAsiaTheme="majorEastAsia"/>
        </w:rPr>
        <w:t> </w:t>
      </w:r>
    </w:p>
    <w:p w14:paraId="32AA9E0B" w14:textId="77777777" w:rsidR="00190D0B" w:rsidRDefault="00CE46B6" w:rsidP="00CE46B6">
      <w:pPr>
        <w:pStyle w:val="paragraph"/>
        <w:numPr>
          <w:ilvl w:val="0"/>
          <w:numId w:val="5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nośność belek/profili nośnych (pionowych) 1500kg,</w:t>
      </w:r>
      <w:r>
        <w:rPr>
          <w:rStyle w:val="eop"/>
          <w:rFonts w:eastAsiaTheme="majorEastAsia"/>
        </w:rPr>
        <w:t> </w:t>
      </w:r>
    </w:p>
    <w:p w14:paraId="567DD8DF" w14:textId="77777777" w:rsidR="00190D0B" w:rsidRDefault="00CE46B6" w:rsidP="00CE46B6">
      <w:pPr>
        <w:pStyle w:val="paragraph"/>
        <w:numPr>
          <w:ilvl w:val="0"/>
          <w:numId w:val="5"/>
        </w:numPr>
        <w:spacing w:before="0" w:beforeAutospacing="0" w:after="0" w:afterAutospacing="0"/>
        <w:ind w:left="1425" w:firstLine="0"/>
        <w:jc w:val="both"/>
      </w:pPr>
      <w:r>
        <w:rPr>
          <w:rStyle w:val="normaltextrun"/>
          <w:rFonts w:eastAsiaTheme="majorEastAsia"/>
        </w:rPr>
        <w:t>odległość między belkami umożliwiająca montaż urządzeń z uchwytami w rozstawie 19”.</w:t>
      </w:r>
      <w:r>
        <w:rPr>
          <w:rStyle w:val="eop"/>
          <w:rFonts w:eastAsiaTheme="majorEastAsia"/>
        </w:rPr>
        <w:t> </w:t>
      </w:r>
    </w:p>
    <w:p w14:paraId="34F5CACA" w14:textId="77777777" w:rsidR="00190D0B" w:rsidRDefault="00CE46B6" w:rsidP="00CE46B6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w każdej z szaf zasilanie z dwóch niezależnych torów w postaci 2 listew zasilających PDU,</w:t>
      </w:r>
      <w:r>
        <w:rPr>
          <w:rStyle w:val="eop"/>
          <w:rFonts w:eastAsiaTheme="majorEastAsia"/>
        </w:rPr>
        <w:t> </w:t>
      </w:r>
    </w:p>
    <w:p w14:paraId="547170D0" w14:textId="77777777" w:rsidR="00190D0B" w:rsidRDefault="00CE46B6" w:rsidP="00CE46B6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każda z listew PDU posiada:</w:t>
      </w:r>
      <w:r>
        <w:rPr>
          <w:rStyle w:val="eop"/>
          <w:rFonts w:eastAsiaTheme="majorEastAsia"/>
        </w:rPr>
        <w:t> </w:t>
      </w:r>
    </w:p>
    <w:p w14:paraId="1F01B5B4" w14:textId="77777777" w:rsidR="00190D0B" w:rsidRDefault="00CE46B6" w:rsidP="00CE46B6">
      <w:pPr>
        <w:pStyle w:val="paragraph"/>
        <w:numPr>
          <w:ilvl w:val="0"/>
          <w:numId w:val="8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zasilanie 3 fazowe,</w:t>
      </w:r>
      <w:r>
        <w:rPr>
          <w:rStyle w:val="eop"/>
          <w:rFonts w:eastAsiaTheme="majorEastAsia"/>
        </w:rPr>
        <w:t> </w:t>
      </w:r>
    </w:p>
    <w:p w14:paraId="1FA48193" w14:textId="77777777" w:rsidR="00190D0B" w:rsidRDefault="00CE46B6" w:rsidP="00CE46B6">
      <w:pPr>
        <w:pStyle w:val="paragraph"/>
        <w:numPr>
          <w:ilvl w:val="0"/>
          <w:numId w:val="8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zabezpieczenie o łącznej mocy 32A na każdą szafę,</w:t>
      </w:r>
      <w:r>
        <w:rPr>
          <w:rStyle w:val="eop"/>
          <w:rFonts w:eastAsiaTheme="majorEastAsia"/>
        </w:rPr>
        <w:t> </w:t>
      </w:r>
    </w:p>
    <w:p w14:paraId="050BAD50" w14:textId="77777777" w:rsidR="00190D0B" w:rsidRDefault="00CE46B6" w:rsidP="00CE46B6">
      <w:pPr>
        <w:pStyle w:val="paragraph"/>
        <w:numPr>
          <w:ilvl w:val="0"/>
          <w:numId w:val="8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18 gniazd C13,</w:t>
      </w:r>
      <w:r>
        <w:rPr>
          <w:rStyle w:val="eop"/>
          <w:rFonts w:eastAsiaTheme="majorEastAsia"/>
        </w:rPr>
        <w:t> </w:t>
      </w:r>
    </w:p>
    <w:p w14:paraId="2C047F6D" w14:textId="77777777" w:rsidR="00190D0B" w:rsidRDefault="00CE46B6" w:rsidP="00CE46B6">
      <w:pPr>
        <w:pStyle w:val="paragraph"/>
        <w:numPr>
          <w:ilvl w:val="0"/>
          <w:numId w:val="8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6 gniazd C19.</w:t>
      </w:r>
      <w:r>
        <w:rPr>
          <w:rStyle w:val="eop"/>
          <w:rFonts w:eastAsiaTheme="majorEastAsia"/>
        </w:rPr>
        <w:t> </w:t>
      </w:r>
    </w:p>
    <w:p w14:paraId="43993644" w14:textId="77777777" w:rsidR="00190D0B" w:rsidRDefault="00CE46B6" w:rsidP="00CE46B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rPr>
          <w:rFonts w:eastAsiaTheme="majorEastAsia"/>
        </w:rPr>
      </w:pPr>
      <w:r>
        <w:rPr>
          <w:color w:val="000000"/>
        </w:rPr>
        <w:t>miejsce na dachu budynku BST do montażu anteny systemu GNSS.</w:t>
      </w:r>
    </w:p>
    <w:p w14:paraId="67C394FC" w14:textId="77777777" w:rsidR="00190D0B" w:rsidRDefault="00CE46B6" w:rsidP="00CE46B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Szafa wyznaczona przez Zamawiającego do wykonania instalacji będzie niezależna od Zadania </w:t>
      </w:r>
      <w:proofErr w:type="spellStart"/>
      <w:r>
        <w:rPr>
          <w:rStyle w:val="normaltextrun"/>
          <w:rFonts w:eastAsiaTheme="majorEastAsia"/>
        </w:rPr>
        <w:t>Core</w:t>
      </w:r>
      <w:proofErr w:type="spellEnd"/>
      <w:r>
        <w:rPr>
          <w:rStyle w:val="normaltextrun"/>
          <w:rFonts w:eastAsiaTheme="majorEastAsia"/>
        </w:rPr>
        <w:t>.</w:t>
      </w:r>
    </w:p>
    <w:p w14:paraId="55376FEC" w14:textId="77777777" w:rsidR="00190D0B" w:rsidRDefault="00190D0B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4ACD8B8C" w14:textId="77777777" w:rsidR="00190D0B" w:rsidRDefault="00190D0B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4A6F5965" w14:textId="5E73168C" w:rsidR="00190D0B" w:rsidRDefault="00BC7F44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</w:rPr>
      </w:pPr>
      <w:r>
        <w:rPr>
          <w:rStyle w:val="normaltextrun"/>
          <w:rFonts w:eastAsiaTheme="majorEastAsia"/>
        </w:rPr>
        <w:t>Wykonawca</w:t>
      </w:r>
      <w:r w:rsidR="00CE46B6">
        <w:rPr>
          <w:rStyle w:val="normaltextrun"/>
          <w:rFonts w:eastAsiaTheme="majorEastAsia"/>
        </w:rPr>
        <w:t xml:space="preserve"> musi zapewnić:</w:t>
      </w:r>
      <w:r w:rsidR="00CE46B6">
        <w:rPr>
          <w:rStyle w:val="eop"/>
          <w:rFonts w:eastAsiaTheme="majorEastAsia"/>
        </w:rPr>
        <w:t> </w:t>
      </w:r>
    </w:p>
    <w:p w14:paraId="2CC541DF" w14:textId="77777777" w:rsidR="00190D0B" w:rsidRDefault="00190D0B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267CDB1C" w14:textId="77777777" w:rsidR="00190D0B" w:rsidRDefault="00CE46B6" w:rsidP="00CE46B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rPr>
          <w:rStyle w:val="normaltextrun"/>
        </w:rPr>
      </w:pPr>
      <w:r>
        <w:rPr>
          <w:rStyle w:val="normaltextrun"/>
          <w:rFonts w:eastAsiaTheme="majorEastAsia"/>
        </w:rPr>
        <w:t xml:space="preserve">Dostawę oraz montaż jednostki BBU. </w:t>
      </w:r>
    </w:p>
    <w:p w14:paraId="1EEE8582" w14:textId="77777777" w:rsidR="00190D0B" w:rsidRDefault="00CE46B6" w:rsidP="00CE46B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Jednostka BBU musi obsłużyć całą sieć radiową Politechniki Warszawskiej zainstalowaną w obrębie lokalizacji PCSS.</w:t>
      </w:r>
      <w:r>
        <w:rPr>
          <w:rStyle w:val="eop"/>
          <w:rFonts w:eastAsiaTheme="majorEastAsia"/>
        </w:rPr>
        <w:t> </w:t>
      </w:r>
    </w:p>
    <w:p w14:paraId="3F8498E1" w14:textId="07B4757C" w:rsidR="00190D0B" w:rsidRDefault="00CE46B6" w:rsidP="00CE46B6">
      <w:pPr>
        <w:pStyle w:val="paragraph"/>
        <w:numPr>
          <w:ilvl w:val="0"/>
          <w:numId w:val="18"/>
        </w:numPr>
        <w:tabs>
          <w:tab w:val="clear" w:pos="720"/>
        </w:tabs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 xml:space="preserve">dostawę oraz instalację wymaganego systemu GNSS zapewniającego synchronizację w sieci 5G, w szczególności dla jednostki BBU. Zamawiający wymaga, aby </w:t>
      </w:r>
      <w:r w:rsidR="00BC7F44">
        <w:rPr>
          <w:rStyle w:val="normaltextrun"/>
          <w:rFonts w:eastAsiaTheme="majorEastAsia"/>
          <w:color w:val="000000"/>
        </w:rPr>
        <w:t>Wykonawca</w:t>
      </w:r>
      <w:r>
        <w:rPr>
          <w:rStyle w:val="normaltextrun"/>
          <w:rFonts w:eastAsiaTheme="majorEastAsia"/>
          <w:color w:val="000000"/>
        </w:rPr>
        <w:t xml:space="preserve"> w ramach instalacji zapewnił:</w:t>
      </w:r>
    </w:p>
    <w:p w14:paraId="5CE9C29C" w14:textId="77777777" w:rsidR="00190D0B" w:rsidRDefault="00CE46B6" w:rsidP="00CE46B6">
      <w:pPr>
        <w:pStyle w:val="paragraph"/>
        <w:numPr>
          <w:ilvl w:val="1"/>
          <w:numId w:val="18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 xml:space="preserve"> co najmniej 7 dodatkowych wyjść sygnału GNSS (złącza SMA lub N) lub</w:t>
      </w:r>
    </w:p>
    <w:p w14:paraId="0EDBB078" w14:textId="77777777" w:rsidR="00190D0B" w:rsidRDefault="00CE46B6" w:rsidP="00CE46B6">
      <w:pPr>
        <w:pStyle w:val="paragraph"/>
        <w:numPr>
          <w:ilvl w:val="1"/>
          <w:numId w:val="18"/>
        </w:numPr>
        <w:spacing w:before="0" w:beforeAutospacing="0" w:after="0" w:afterAutospacing="0"/>
        <w:ind w:left="1080" w:firstLine="0"/>
        <w:jc w:val="both"/>
        <w:rPr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 co najmniej 4 porty zapewniające wsparcie dla profili ITU-T G.8275.1 i G.8275.2 (złącza RJ-45 i/lub SFP).</w:t>
      </w:r>
    </w:p>
    <w:p w14:paraId="1D0D9E3F" w14:textId="77777777" w:rsidR="00190D0B" w:rsidRDefault="00CE46B6">
      <w:pPr>
        <w:pStyle w:val="paragraph"/>
        <w:spacing w:before="0" w:beforeAutospacing="0" w:after="0" w:afterAutospacing="0"/>
        <w:ind w:left="1080"/>
        <w:jc w:val="both"/>
      </w:pPr>
      <w:r>
        <w:rPr>
          <w:rStyle w:val="normaltextrun"/>
          <w:rFonts w:eastAsiaTheme="majorEastAsia"/>
          <w:color w:val="000000"/>
        </w:rPr>
        <w:t xml:space="preserve">W tym celu Wykonawca musi skorzystać z istniejących przepustów instalacyjnych lub w razie potrzeby wykonać nowy przepust. Zamawiający wymaga, aby Wykonawca skorzystał z istniejących tras/drabinek kablowych w relacji Serwerownia-dach BST. Wykonana instalacja musi być zgodna z technologią oraz zapewniać odpowiednią szczelność. Miejsce instalacji oraz przebieg trasy wymaganego okablowania należy uzgodnić z Zamawiającym oraz uzyskać jego akceptację. </w:t>
      </w:r>
    </w:p>
    <w:p w14:paraId="2E7CA8A3" w14:textId="77777777" w:rsidR="00190D0B" w:rsidRDefault="00CE46B6" w:rsidP="00CE46B6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Połączenie pomiędzy siecią RAN a rdzeniem sieci 5G znajdującym się w tej samej lokalizacji (ta sama sala w pomieszczeniu Serwerowni).</w:t>
      </w:r>
      <w:r>
        <w:rPr>
          <w:rStyle w:val="eop"/>
          <w:rFonts w:eastAsiaTheme="majorEastAsia"/>
        </w:rPr>
        <w:t> </w:t>
      </w:r>
    </w:p>
    <w:p w14:paraId="7F5E2F35" w14:textId="2C7B5704" w:rsidR="00190D0B" w:rsidRDefault="00CE46B6" w:rsidP="00CE46B6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 xml:space="preserve">Dostawę oraz montaż wymaganej siłowni </w:t>
      </w:r>
      <w:r>
        <w:rPr>
          <w:rStyle w:val="normaltextrun"/>
          <w:rFonts w:eastAsiaTheme="majorEastAsia"/>
          <w:highlight w:val="white"/>
        </w:rPr>
        <w:t>prądu stałego</w:t>
      </w:r>
      <w:r>
        <w:rPr>
          <w:rStyle w:val="normaltextrun"/>
          <w:rFonts w:eastAsiaTheme="majorEastAsia"/>
        </w:rPr>
        <w:t xml:space="preserve"> (o ile instalacja tego wymaga) zapewniającej prawidłową pracę sieci RAN. </w:t>
      </w:r>
      <w:r w:rsidR="00BC7F44">
        <w:rPr>
          <w:rStyle w:val="normaltextrun"/>
          <w:rFonts w:eastAsiaTheme="majorEastAsia"/>
        </w:rPr>
        <w:t>Wykonawca</w:t>
      </w:r>
      <w:r>
        <w:rPr>
          <w:rStyle w:val="normaltextrun"/>
          <w:rFonts w:eastAsiaTheme="majorEastAsia"/>
        </w:rPr>
        <w:t xml:space="preserve"> musi dostarczyć siłownię zapewniającą pobór mocy nie większy niż 6kW.</w:t>
      </w:r>
      <w:r>
        <w:rPr>
          <w:rStyle w:val="eop"/>
          <w:rFonts w:eastAsiaTheme="majorEastAsia"/>
        </w:rPr>
        <w:t> </w:t>
      </w:r>
    </w:p>
    <w:p w14:paraId="5B45F4B8" w14:textId="77777777" w:rsidR="00190D0B" w:rsidRDefault="00CE46B6" w:rsidP="00CE46B6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jc w:val="both"/>
        <w:rPr>
          <w:highlight w:val="white"/>
        </w:rPr>
      </w:pPr>
      <w:r>
        <w:rPr>
          <w:rStyle w:val="normaltextrun"/>
          <w:rFonts w:eastAsiaTheme="majorEastAsia"/>
        </w:rPr>
        <w:t>Dostarczenie oraz instalację głowic typu E z zapewnionym dostępem do toru radiowego </w:t>
      </w:r>
      <w:r>
        <w:rPr>
          <w:rStyle w:val="eop"/>
          <w:rFonts w:eastAsiaTheme="majorEastAsia"/>
        </w:rPr>
        <w:t xml:space="preserve">z punktu </w:t>
      </w:r>
      <w:r>
        <w:rPr>
          <w:rStyle w:val="eop"/>
          <w:rFonts w:eastAsiaTheme="majorEastAsia"/>
          <w:highlight w:val="white"/>
        </w:rPr>
        <w:t>1.</w:t>
      </w:r>
      <w:r>
        <w:rPr>
          <w:rStyle w:val="eop"/>
          <w:rFonts w:eastAsiaTheme="majorEastAsia"/>
        </w:rPr>
        <w:t>1.</w:t>
      </w:r>
    </w:p>
    <w:p w14:paraId="25CA2969" w14:textId="77777777" w:rsidR="00190D0B" w:rsidRDefault="00CE46B6" w:rsidP="00CE46B6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Dostarczenie oraz instalację niezbędnych elementów umożliwiających montaż głowic radiowych w szafach RACK 19” w pozycji pionowej. </w:t>
      </w:r>
      <w:r>
        <w:rPr>
          <w:rStyle w:val="eop"/>
          <w:rFonts w:eastAsiaTheme="majorEastAsia"/>
        </w:rPr>
        <w:t> </w:t>
      </w:r>
    </w:p>
    <w:p w14:paraId="57A37091" w14:textId="77777777" w:rsidR="00190D0B" w:rsidRDefault="00CE46B6" w:rsidP="00CE46B6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jc w:val="both"/>
        <w:rPr>
          <w:rStyle w:val="eop"/>
        </w:rPr>
      </w:pPr>
      <w:r>
        <w:rPr>
          <w:rStyle w:val="normaltextrun"/>
          <w:rFonts w:eastAsiaTheme="majorEastAsia"/>
        </w:rPr>
        <w:t>Dostarczenie oraz ułożenie niezbędnego okablowania do zasilenia modułów radiowych wraz z połączeniami światłowodowymi. Przebieg okablowania należy uzgodnić z Zamawiającym.</w:t>
      </w:r>
      <w:r>
        <w:rPr>
          <w:rStyle w:val="eop"/>
          <w:rFonts w:eastAsiaTheme="majorEastAsia"/>
        </w:rPr>
        <w:t> </w:t>
      </w:r>
    </w:p>
    <w:p w14:paraId="34225932" w14:textId="77777777" w:rsidR="00190D0B" w:rsidRDefault="00190D0B">
      <w:pPr>
        <w:pStyle w:val="paragraph"/>
        <w:spacing w:before="0" w:beforeAutospacing="0" w:after="0" w:afterAutospacing="0"/>
        <w:jc w:val="both"/>
      </w:pPr>
    </w:p>
    <w:p w14:paraId="24C4A9EF" w14:textId="77777777" w:rsidR="00190D0B" w:rsidRDefault="00CE46B6">
      <w:pPr>
        <w:pStyle w:val="paragraph"/>
        <w:spacing w:before="0" w:beforeAutospacing="0" w:after="0" w:afterAutospacing="0"/>
        <w:jc w:val="both"/>
        <w:rPr>
          <w:rStyle w:val="eop"/>
          <w:rFonts w:eastAsiaTheme="majorEastAsia"/>
        </w:rPr>
      </w:pPr>
      <w:r>
        <w:lastRenderedPageBreak/>
        <w:t>Dalsze wymagania</w:t>
      </w:r>
      <w:r>
        <w:rPr>
          <w:rStyle w:val="normaltextrun"/>
          <w:rFonts w:eastAsiaTheme="majorEastAsia"/>
        </w:rPr>
        <w:t>:</w:t>
      </w:r>
      <w:r>
        <w:rPr>
          <w:rStyle w:val="eop"/>
          <w:rFonts w:eastAsiaTheme="majorEastAsia"/>
        </w:rPr>
        <w:t> </w:t>
      </w:r>
    </w:p>
    <w:p w14:paraId="27B7F657" w14:textId="77777777" w:rsidR="00190D0B" w:rsidRDefault="00190D0B">
      <w:pPr>
        <w:pStyle w:val="paragraph"/>
        <w:spacing w:before="0" w:beforeAutospacing="0" w:after="0" w:afterAutospacing="0"/>
        <w:jc w:val="both"/>
        <w:rPr>
          <w:rFonts w:ascii="Segoe UI" w:hAnsi="Segoe UI" w:cs="Segoe UI"/>
          <w:sz w:val="18"/>
          <w:szCs w:val="18"/>
        </w:rPr>
      </w:pPr>
    </w:p>
    <w:p w14:paraId="57722A24" w14:textId="77777777" w:rsidR="00190D0B" w:rsidRDefault="00CE46B6" w:rsidP="00CE46B6">
      <w:pPr>
        <w:pStyle w:val="paragraph"/>
        <w:numPr>
          <w:ilvl w:val="0"/>
          <w:numId w:val="14"/>
        </w:numPr>
        <w:tabs>
          <w:tab w:val="clear" w:pos="720"/>
        </w:tabs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 xml:space="preserve">Zamawiający wymaga, aby demonstracja działania sieci RAN odbyła się z wykorzystaniem komór typu </w:t>
      </w:r>
      <w:proofErr w:type="spellStart"/>
      <w:r>
        <w:rPr>
          <w:rStyle w:val="spellingerror"/>
          <w:rFonts w:eastAsiaTheme="majorEastAsia"/>
        </w:rPr>
        <w:t>shieldbox</w:t>
      </w:r>
      <w:proofErr w:type="spellEnd"/>
      <w:r>
        <w:rPr>
          <w:rStyle w:val="normaltextrun"/>
          <w:rFonts w:eastAsiaTheme="majorEastAsia"/>
        </w:rPr>
        <w:t xml:space="preserve"> zapewniających izolację sygnału radiowego. Oferent będzie korzystał z komór udostępnianych przez Zamawiającego. </w:t>
      </w:r>
    </w:p>
    <w:p w14:paraId="51C78C4E" w14:textId="77777777" w:rsidR="00190D0B" w:rsidRDefault="00CE46B6" w:rsidP="00CE46B6">
      <w:pPr>
        <w:pStyle w:val="paragraph"/>
        <w:numPr>
          <w:ilvl w:val="0"/>
          <w:numId w:val="15"/>
        </w:numPr>
        <w:spacing w:before="0" w:beforeAutospacing="0" w:after="0" w:afterAutospacing="0"/>
        <w:ind w:left="1800" w:firstLine="0"/>
        <w:jc w:val="both"/>
      </w:pPr>
      <w:r>
        <w:rPr>
          <w:rStyle w:val="normaltextrun"/>
          <w:rFonts w:eastAsiaTheme="majorEastAsia"/>
        </w:rPr>
        <w:t>Zakres prezentacji działania systemu został zdefiniowany w rozdziale 8. dokumentu „Specyfikacja sieci międzyregionalnej”.</w:t>
      </w:r>
    </w:p>
    <w:p w14:paraId="6F5E7562" w14:textId="77777777" w:rsidR="00190D0B" w:rsidRDefault="00CE46B6" w:rsidP="00CE46B6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</w:rPr>
        <w:t>Wszystkie dostarczone elementy muszą zostać zainstalowane w szafach RACK 19”</w:t>
      </w:r>
      <w:r>
        <w:rPr>
          <w:rStyle w:val="normaltextrun"/>
          <w:rFonts w:eastAsiaTheme="majorEastAsia"/>
          <w:highlight w:val="white"/>
        </w:rPr>
        <w:t xml:space="preserve"> (z wyłączeniem </w:t>
      </w:r>
      <w:r>
        <w:rPr>
          <w:color w:val="000000"/>
          <w:highlight w:val="white"/>
        </w:rPr>
        <w:t>anteny systemu GNSS oraz elementów służących do podłączania tej anteny)</w:t>
      </w:r>
      <w:r>
        <w:rPr>
          <w:rStyle w:val="normaltextrun"/>
          <w:rFonts w:eastAsiaTheme="majorEastAsia"/>
        </w:rPr>
        <w:t>.</w:t>
      </w:r>
      <w:r>
        <w:rPr>
          <w:rStyle w:val="eop"/>
          <w:rFonts w:eastAsiaTheme="majorEastAsia"/>
        </w:rPr>
        <w:t> </w:t>
      </w:r>
    </w:p>
    <w:p w14:paraId="4B73063C" w14:textId="77777777" w:rsidR="00190D0B" w:rsidRDefault="00CE46B6" w:rsidP="00CE46B6">
      <w:pPr>
        <w:pStyle w:val="paragraph"/>
        <w:numPr>
          <w:ilvl w:val="0"/>
          <w:numId w:val="17"/>
        </w:numPr>
        <w:spacing w:before="0" w:beforeAutospacing="0" w:after="0" w:afterAutospacing="0"/>
        <w:ind w:left="1080" w:firstLine="0"/>
        <w:jc w:val="both"/>
      </w:pPr>
      <w:r>
        <w:rPr>
          <w:rStyle w:val="normaltextrun"/>
          <w:rFonts w:eastAsiaTheme="majorEastAsia"/>
          <w:color w:val="000000"/>
        </w:rPr>
        <w:t xml:space="preserve">Zamawiający wymaga dostarczenie dokumentacji powykonawczej obejmującej wszystkie zainstalowane urządzenia, łącza transmisji danych, elementy zasilania i inne urządzenia, również te niewyspecyfikowane </w:t>
      </w:r>
      <w:r>
        <w:rPr>
          <w:rStyle w:val="contextualspellingandgrammarerror"/>
          <w:rFonts w:eastAsiaTheme="majorEastAsia"/>
          <w:color w:val="000000"/>
        </w:rPr>
        <w:t>wprost</w:t>
      </w:r>
      <w:r>
        <w:rPr>
          <w:rStyle w:val="normaltextrun"/>
          <w:rFonts w:eastAsiaTheme="majorEastAsia"/>
          <w:color w:val="000000"/>
        </w:rPr>
        <w:t xml:space="preserve"> ale wymagane do prawidłowej pracy elementów sieci RAN zainstalowanej przez Wykonawcę oraz sporządzenia dokumentacji powykonawczej, na której zostaną opisane zainstalowane elementy systemu oraz przebiegi okablowania. </w:t>
      </w:r>
      <w:r>
        <w:rPr>
          <w:rStyle w:val="eop"/>
          <w:rFonts w:eastAsiaTheme="majorEastAsia"/>
          <w:color w:val="000000"/>
        </w:rPr>
        <w:t> </w:t>
      </w:r>
    </w:p>
    <w:p w14:paraId="16C2F6E1" w14:textId="77777777" w:rsidR="00190D0B" w:rsidRDefault="00CE46B6">
      <w:r>
        <w:rPr>
          <w:rStyle w:val="normaltextrun"/>
          <w:rFonts w:eastAsiaTheme="majorEastAsia"/>
          <w:color w:val="000000"/>
        </w:rPr>
        <w:t xml:space="preserve"> Wszystkie przewody transmisji danych (np. </w:t>
      </w:r>
      <w:proofErr w:type="spellStart"/>
      <w:r>
        <w:rPr>
          <w:rStyle w:val="spellingerror"/>
          <w:rFonts w:eastAsiaTheme="majorEastAsia"/>
          <w:color w:val="000000"/>
        </w:rPr>
        <w:t>patchcordy</w:t>
      </w:r>
      <w:proofErr w:type="spellEnd"/>
      <w:r>
        <w:rPr>
          <w:rStyle w:val="normaltextrun"/>
          <w:rFonts w:eastAsiaTheme="majorEastAsia"/>
          <w:color w:val="000000"/>
        </w:rPr>
        <w:t xml:space="preserve"> optyczne), przewody sygnałowe (np. przewody RF między głowicą a anteną, przewody anten GNSS) oraz zasilające muszą być oznakowane w sposób odpowiedni do warunków klimatycznych (instalacja na zewnątrz budynków wymaga oznakowania odpornego na wodę, ujemne temperatury i promieniowanie ultrafioletowe), oznakowania te muszą być naniesione na dokumentację powykonawczą.</w:t>
      </w:r>
    </w:p>
    <w:sectPr w:rsidR="00190D0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7ED3346" w16cex:dateUtc="2023-04-21T14:07:00Z"/>
  <w16cex:commentExtensible w16cex:durableId="28056D56" w16cex:dateUtc="2023-05-09T23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B76CC" w14:textId="77777777" w:rsidR="00204F1D" w:rsidRDefault="00204F1D">
      <w:pPr>
        <w:spacing w:after="0" w:line="240" w:lineRule="auto"/>
      </w:pPr>
      <w:r>
        <w:separator/>
      </w:r>
    </w:p>
  </w:endnote>
  <w:endnote w:type="continuationSeparator" w:id="0">
    <w:p w14:paraId="7E875013" w14:textId="77777777" w:rsidR="00204F1D" w:rsidRDefault="00204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44812498"/>
      <w:docPartObj>
        <w:docPartGallery w:val="Page Numbers (Bottom of Page)"/>
        <w:docPartUnique/>
      </w:docPartObj>
    </w:sdtPr>
    <w:sdtEndPr/>
    <w:sdtContent>
      <w:p w14:paraId="7F880CC6" w14:textId="56ED04E8" w:rsidR="00A42465" w:rsidRDefault="00A424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C00F2E" w14:textId="77777777" w:rsidR="00A42465" w:rsidRDefault="00A424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FB78CC" w14:textId="77777777" w:rsidR="00204F1D" w:rsidRDefault="00204F1D">
      <w:pPr>
        <w:spacing w:after="0" w:line="240" w:lineRule="auto"/>
      </w:pPr>
      <w:r>
        <w:separator/>
      </w:r>
    </w:p>
  </w:footnote>
  <w:footnote w:type="continuationSeparator" w:id="0">
    <w:p w14:paraId="6882F4AF" w14:textId="77777777" w:rsidR="00204F1D" w:rsidRDefault="00204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CAF82" w14:textId="02ED3DD3" w:rsidR="00A42465" w:rsidRDefault="00BC7F44" w:rsidP="00BC7F44">
    <w:pPr>
      <w:pStyle w:val="Nagwek"/>
      <w:jc w:val="right"/>
    </w:pPr>
    <w:r>
      <w:t>Załącznik 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94F67"/>
    <w:multiLevelType w:val="hybridMultilevel"/>
    <w:tmpl w:val="C6007AE2"/>
    <w:lvl w:ilvl="0" w:tplc="9036F8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16AEE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B720E8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CC85D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6901BC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E324A9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ADA40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E2C2B3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6F22C8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6C63D9"/>
    <w:multiLevelType w:val="hybridMultilevel"/>
    <w:tmpl w:val="6C848238"/>
    <w:lvl w:ilvl="0" w:tplc="07DA8DD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21B8DB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93CE0D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CD54A23E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C72694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15A48BD8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5E70778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DF0A0A6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5358E5AC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A0B707E"/>
    <w:multiLevelType w:val="hybridMultilevel"/>
    <w:tmpl w:val="B7DABBA2"/>
    <w:lvl w:ilvl="0" w:tplc="C57837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6ACB0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76655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86F4AB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B32641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C2893C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E04B7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507AAD3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A2AAEDB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F5459D"/>
    <w:multiLevelType w:val="hybridMultilevel"/>
    <w:tmpl w:val="A3068E0E"/>
    <w:lvl w:ilvl="0" w:tplc="3C8069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074C0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624B20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D1E25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6003B6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B1E8E8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C3432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388EE2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8F0068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B048E6"/>
    <w:multiLevelType w:val="hybridMultilevel"/>
    <w:tmpl w:val="E8628F0E"/>
    <w:lvl w:ilvl="0" w:tplc="892491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CF3EF5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AE6F80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6BF03BC6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78802C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A73AD8C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8C8AF2A0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90C2D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6672B11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A1E33A4"/>
    <w:multiLevelType w:val="hybridMultilevel"/>
    <w:tmpl w:val="D31C8BFC"/>
    <w:lvl w:ilvl="0" w:tplc="D5CA20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17A81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882F85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8F299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04C730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6F629E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73AAD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1E0734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2ACCA9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F5D4F"/>
    <w:multiLevelType w:val="hybridMultilevel"/>
    <w:tmpl w:val="C3D8B2D4"/>
    <w:lvl w:ilvl="0" w:tplc="E69C9E76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plc="8318C584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2" w:tplc="FB325D20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  <w:sz w:val="20"/>
      </w:rPr>
    </w:lvl>
    <w:lvl w:ilvl="3" w:tplc="0F56CF0A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4" w:tplc="55CAA652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5" w:tplc="438251FE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6" w:tplc="E11C88F0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7" w:tplc="C6B6ABB6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  <w:lvl w:ilvl="8" w:tplc="0DC47F94">
      <w:start w:val="1"/>
      <w:numFmt w:val="bullet"/>
      <w:lvlText w:val=""/>
      <w:lvlJc w:val="left"/>
      <w:pPr>
        <w:tabs>
          <w:tab w:val="num" w:pos="7188"/>
        </w:tabs>
        <w:ind w:left="7188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670117"/>
    <w:multiLevelType w:val="hybridMultilevel"/>
    <w:tmpl w:val="E626E994"/>
    <w:lvl w:ilvl="0" w:tplc="9AC883A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B4E13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DFED4F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490CAB6C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F85EC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E6B088E8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92FC55A8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5F12AD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EEFCC3E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7A75110"/>
    <w:multiLevelType w:val="hybridMultilevel"/>
    <w:tmpl w:val="56E03F6C"/>
    <w:lvl w:ilvl="0" w:tplc="60E4A8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EBCC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68AA0B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740E0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94F93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F7A8D6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FE604A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2624EE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A88CBE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715F68"/>
    <w:multiLevelType w:val="hybridMultilevel"/>
    <w:tmpl w:val="A33CCF84"/>
    <w:lvl w:ilvl="0" w:tplc="AE7C669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B614A7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36079E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F08E1082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C6C061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9768F670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D72E7CB8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01162A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C0480D7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5F5198B"/>
    <w:multiLevelType w:val="hybridMultilevel"/>
    <w:tmpl w:val="5A8652E2"/>
    <w:lvl w:ilvl="0" w:tplc="04B281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90E61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4C01CE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FCC95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F42589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E4A183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62C3C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CD4075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3523E9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35442D"/>
    <w:multiLevelType w:val="hybridMultilevel"/>
    <w:tmpl w:val="4BD21650"/>
    <w:lvl w:ilvl="0" w:tplc="669AC3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5DC95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BFEECA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3342D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406F70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872946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5F29D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C4EECC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BEABC7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8919D5"/>
    <w:multiLevelType w:val="multilevel"/>
    <w:tmpl w:val="6B562A0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65B23B1F"/>
    <w:multiLevelType w:val="hybridMultilevel"/>
    <w:tmpl w:val="9B8495C0"/>
    <w:lvl w:ilvl="0" w:tplc="821C07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C4222C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960318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E42BF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9323C0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18496B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7FEB6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B76A59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EA0A39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F707661"/>
    <w:multiLevelType w:val="hybridMultilevel"/>
    <w:tmpl w:val="61FC9DEA"/>
    <w:lvl w:ilvl="0" w:tplc="C6402E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DD080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0500A0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B8CAF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298368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FF014F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B7E2CF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40A875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13CF6E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F956893"/>
    <w:multiLevelType w:val="hybridMultilevel"/>
    <w:tmpl w:val="338275E0"/>
    <w:lvl w:ilvl="0" w:tplc="A0C6440A">
      <w:start w:val="1"/>
      <w:numFmt w:val="bullet"/>
      <w:lvlText w:val="·"/>
      <w:lvlJc w:val="left"/>
      <w:pPr>
        <w:ind w:left="1417" w:hanging="360"/>
      </w:pPr>
      <w:rPr>
        <w:rFonts w:ascii="Symbol" w:eastAsia="Symbol" w:hAnsi="Symbol" w:cs="Symbol" w:hint="default"/>
      </w:rPr>
    </w:lvl>
    <w:lvl w:ilvl="1" w:tplc="9DD0AE50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BE06906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FF10B27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9F18FD9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4FE20F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377E363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D2D257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C92E76A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6FF31858"/>
    <w:multiLevelType w:val="hybridMultilevel"/>
    <w:tmpl w:val="44222742"/>
    <w:lvl w:ilvl="0" w:tplc="711E1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0FADE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4F8C7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AAB5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8B0B20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BD09D1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CA05D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B289A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1208E7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4CB717A"/>
    <w:multiLevelType w:val="hybridMultilevel"/>
    <w:tmpl w:val="538A27BC"/>
    <w:lvl w:ilvl="0" w:tplc="9C7E2A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08A1BC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976C2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C4854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FB81F1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4C495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B3EC9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D34A4C8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26CE12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1"/>
  </w:num>
  <w:num w:numId="5">
    <w:abstractNumId w:val="9"/>
  </w:num>
  <w:num w:numId="6">
    <w:abstractNumId w:val="14"/>
  </w:num>
  <w:num w:numId="7">
    <w:abstractNumId w:val="13"/>
  </w:num>
  <w:num w:numId="8">
    <w:abstractNumId w:val="4"/>
  </w:num>
  <w:num w:numId="9">
    <w:abstractNumId w:val="15"/>
  </w:num>
  <w:num w:numId="10">
    <w:abstractNumId w:val="0"/>
  </w:num>
  <w:num w:numId="11">
    <w:abstractNumId w:val="3"/>
  </w:num>
  <w:num w:numId="12">
    <w:abstractNumId w:val="17"/>
  </w:num>
  <w:num w:numId="13">
    <w:abstractNumId w:val="16"/>
  </w:num>
  <w:num w:numId="14">
    <w:abstractNumId w:val="8"/>
  </w:num>
  <w:num w:numId="15">
    <w:abstractNumId w:val="7"/>
  </w:num>
  <w:num w:numId="16">
    <w:abstractNumId w:val="11"/>
  </w:num>
  <w:num w:numId="17">
    <w:abstractNumId w:val="10"/>
  </w:num>
  <w:num w:numId="1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D0B"/>
    <w:rsid w:val="00190D0B"/>
    <w:rsid w:val="00204F1D"/>
    <w:rsid w:val="006349D9"/>
    <w:rsid w:val="006A4512"/>
    <w:rsid w:val="00A42465"/>
    <w:rsid w:val="00BC7F44"/>
    <w:rsid w:val="00CE46B6"/>
    <w:rsid w:val="00DA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A998D"/>
  <w15:docId w15:val="{1190991A-DC3D-460D-A4E6-47BE4527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pPr>
      <w:numPr>
        <w:ilvl w:val="1"/>
      </w:numPr>
      <w:spacing w:after="24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numPr>
        <w:ilvl w:val="2"/>
        <w:numId w:val="1"/>
      </w:numPr>
      <w:spacing w:before="160" w:after="120"/>
      <w:outlineLvl w:val="2"/>
    </w:pPr>
    <w:rPr>
      <w:rFonts w:eastAsiaTheme="majorEastAsia" w:cstheme="majorBidi"/>
      <w:szCs w:val="24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pPr>
      <w:numPr>
        <w:ilvl w:val="3"/>
      </w:numPr>
      <w:spacing w:before="120"/>
      <w:outlineLvl w:val="3"/>
    </w:pPr>
    <w:rPr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iatkatabelijasna">
    <w:name w:val="Grid Table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asiatki1jasnaakcent1">
    <w:name w:val="Grid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asiatki1jasnaakcent2">
    <w:name w:val="Grid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asiatki1jasnaakcent3">
    <w:name w:val="Grid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asiatki1jasnaakcent4">
    <w:name w:val="Grid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asiatki1jasnaakcent5">
    <w:name w:val="Grid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asiatki1jasnaakcent6">
    <w:name w:val="Grid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2akcent1">
    <w:name w:val="Grid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2akcent2">
    <w:name w:val="Grid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2akcent3">
    <w:name w:val="Grid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2akcent4">
    <w:name w:val="Grid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2akcent5">
    <w:name w:val="Grid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2akcent6">
    <w:name w:val="Grid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3akcent1">
    <w:name w:val="Grid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3akcent2">
    <w:name w:val="Grid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3akcent3">
    <w:name w:val="Grid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3akcent4">
    <w:name w:val="Grid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3akcent5">
    <w:name w:val="Grid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3akcent6">
    <w:name w:val="Grid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4akcent1">
    <w:name w:val="Grid Table 4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asiatki4akcent2">
    <w:name w:val="Grid Table 4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4akcent3">
    <w:name w:val="Grid Table 4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4akcent4">
    <w:name w:val="Grid Table 4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4akcent5">
    <w:name w:val="Grid Table 4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4akcent6">
    <w:name w:val="Grid Table 4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Tabelasiatki5ciemnaakcent2">
    <w:name w:val="Grid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asiatki5ciemnaakcent3">
    <w:name w:val="Grid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Tabelasiatki5ciemnaakcent5">
    <w:name w:val="Grid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asiatki5ciemnaakcent6">
    <w:name w:val="Grid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6kolorowaakcent1">
    <w:name w:val="Grid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6kolorowaakcent2">
    <w:name w:val="Grid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6kolorowaakcent3">
    <w:name w:val="Grid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6kolorowaakcent4">
    <w:name w:val="Grid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6kolorowaakcent5">
    <w:name w:val="Grid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6kolorowaakcent6">
    <w:name w:val="Grid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7kolorowaakcent1">
    <w:name w:val="Grid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7kolorowaakcent2">
    <w:name w:val="Grid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7kolorowaakcent3">
    <w:name w:val="Grid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7kolorowaakcent4">
    <w:name w:val="Grid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7kolorowaakcent5">
    <w:name w:val="Grid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6">
    <w:name w:val="Grid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Tabelalisty1jasnaakcent1">
    <w:name w:val="List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alisty1jasnaakcent2">
    <w:name w:val="List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alisty1jasnaakcent3">
    <w:name w:val="List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alisty1jasnaakcent4">
    <w:name w:val="List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alisty1jasnaakcent5">
    <w:name w:val="List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alisty1jasnaakcent6">
    <w:name w:val="List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2akcent1">
    <w:name w:val="List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2akcent2">
    <w:name w:val="List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2akcent3">
    <w:name w:val="List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2akcent4">
    <w:name w:val="List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2akcent5">
    <w:name w:val="List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2akcent6">
    <w:name w:val="List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listy3akcent1">
    <w:name w:val="List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alisty3akcent2">
    <w:name w:val="List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alisty3akcent3">
    <w:name w:val="List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alisty3akcent4">
    <w:name w:val="List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alisty3akcent5">
    <w:name w:val="List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alisty3akcent6">
    <w:name w:val="List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4akcent1">
    <w:name w:val="List Table 4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4akcent2">
    <w:name w:val="List Table 4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4akcent3">
    <w:name w:val="List Table 4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4akcent4">
    <w:name w:val="List Table 4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4akcent5">
    <w:name w:val="List Table 4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4akcent6">
    <w:name w:val="List Table 4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abelalisty5ciemnaakcent1">
    <w:name w:val="List Table 5 Dark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alisty5ciemnaakcent2">
    <w:name w:val="List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alisty5ciemnaakcent3">
    <w:name w:val="List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alisty5ciemnaakcent4">
    <w:name w:val="List Table 5 Dark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alisty5ciemnaakcent5">
    <w:name w:val="List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alisty5ciemnaakcent6">
    <w:name w:val="List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alisty6kolorowaakcent1">
    <w:name w:val="List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6kolorowaakcent2">
    <w:name w:val="List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6kolorowaakcent3">
    <w:name w:val="List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6kolorowaakcent4">
    <w:name w:val="List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6kolorowaakcent5">
    <w:name w:val="List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6kolorowaakcent6">
    <w:name w:val="List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listy7kolorowaakcent1">
    <w:name w:val="List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7kolorowaakcent2">
    <w:name w:val="List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7kolorowaakcent3">
    <w:name w:val="List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7kolorowaakcent4">
    <w:name w:val="List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7kolorowaakcent5">
    <w:name w:val="List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7kolorowaakcent6">
    <w:name w:val="List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character" w:customStyle="1" w:styleId="Nagwek1Znak">
    <w:name w:val="Nagłówek 1 Znak"/>
    <w:basedOn w:val="Domylnaczcionkaakapitu"/>
    <w:link w:val="Nagwek1"/>
    <w:uiPriority w:val="9"/>
    <w:rPr>
      <w:rFonts w:ascii="Times New Roman" w:eastAsiaTheme="majorEastAsia" w:hAnsi="Times New Roman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Times New Roman" w:eastAsiaTheme="majorEastAsia" w:hAnsi="Times New Roman" w:cstheme="majorBidi"/>
      <w:sz w:val="24"/>
      <w:szCs w:val="26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Times New Roman" w:eastAsiaTheme="majorEastAsia" w:hAnsi="Times New Roman" w:cstheme="majorBidi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Times New Roman" w:eastAsiaTheme="majorEastAsia" w:hAnsi="Times New Roman" w:cstheme="majorBidi"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Pr>
      <w:rFonts w:cs="Times New Roman"/>
      <w:szCs w:val="24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customStyle="1" w:styleId="docdata">
    <w:name w:val="docdata"/>
    <w:basedOn w:val="Normalny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paragraph" w:customStyle="1" w:styleId="paragraph">
    <w:name w:val="paragraph"/>
    <w:basedOn w:val="Normalny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normaltextrun">
    <w:name w:val="normaltextrun"/>
    <w:basedOn w:val="Domylnaczcionkaakapitu"/>
  </w:style>
  <w:style w:type="character" w:customStyle="1" w:styleId="eop">
    <w:name w:val="eop"/>
    <w:basedOn w:val="Domylnaczcionkaakapitu"/>
  </w:style>
  <w:style w:type="character" w:customStyle="1" w:styleId="spellingerror">
    <w:name w:val="spellingerror"/>
    <w:basedOn w:val="Domylnaczcionkaakapitu"/>
  </w:style>
  <w:style w:type="character" w:customStyle="1" w:styleId="contextualspellingandgrammarerror">
    <w:name w:val="contextualspellingandgrammarerror"/>
    <w:basedOn w:val="Domylnaczcionkaakapitu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hAnsi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4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884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Jolata Oleksy</cp:lastModifiedBy>
  <cp:revision>18</cp:revision>
  <dcterms:created xsi:type="dcterms:W3CDTF">2023-02-13T13:36:00Z</dcterms:created>
  <dcterms:modified xsi:type="dcterms:W3CDTF">2023-06-07T06:51:00Z</dcterms:modified>
</cp:coreProperties>
</file>