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53AE5" w14:textId="77777777" w:rsidR="002F290A" w:rsidRDefault="001C6795">
      <w:pPr>
        <w:pStyle w:val="Nagwek1"/>
      </w:pPr>
      <w:r>
        <w:rPr>
          <w:b/>
          <w:bCs/>
          <w:sz w:val="32"/>
        </w:rPr>
        <w:t>Specyfikacja techniczna urządzeń radiowych dla sieci RAN systemu 5G dla PCSS</w:t>
      </w:r>
    </w:p>
    <w:p w14:paraId="0E313E75" w14:textId="77777777" w:rsidR="002F290A" w:rsidRDefault="002F290A"/>
    <w:p w14:paraId="1235CB20" w14:textId="77777777" w:rsidR="002F290A" w:rsidRDefault="001C6795">
      <w:pPr>
        <w:rPr>
          <w:color w:val="FF0000"/>
        </w:rPr>
      </w:pPr>
      <w:r>
        <w:t xml:space="preserve">Niniejszy załącznik przedstawia wymagane, minimalne parametry urządzeń radiowych, które będą wskazane w rozdziale </w:t>
      </w:r>
      <w:r w:rsidR="005764DF">
        <w:t>4</w:t>
      </w:r>
      <w:r>
        <w:t xml:space="preserve"> jako elementy sieci RAN do instalacji w wyznaczonych lokalizacjach. Specyfikacja nie zawiera opisu urządzeń dodatkowych, jakie będą musiały zostać zainstalowane by podłączyć wszystkie głowice radiowe z wszystkich obiektów do wspólnego rdzenia sieci, zainstalowanego w serwerowni zlokalizowanej w Poznańskim Centrum Superkomputerowo-Sieciowym. </w:t>
      </w:r>
    </w:p>
    <w:p w14:paraId="34BE3C14" w14:textId="77777777" w:rsidR="002F290A" w:rsidRDefault="001C6795">
      <w:pPr>
        <w:pStyle w:val="Nagwek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Głowica radiowa (urządzenie do bezprzewodowej transmisji danych) typu A z anteną </w:t>
      </w:r>
    </w:p>
    <w:p w14:paraId="0113A09D" w14:textId="77777777" w:rsidR="002F290A" w:rsidRDefault="001C6795" w:rsidP="001C6795">
      <w:pPr>
        <w:pStyle w:val="Akapitzlist"/>
        <w:numPr>
          <w:ilvl w:val="0"/>
          <w:numId w:val="17"/>
        </w:numPr>
      </w:pPr>
      <w:r>
        <w:t>Parametry techniczne głowicy: zgodnie z opisem głowicy typu A w dokumencie „Specyfikacja sieci międzyregionalnej”;</w:t>
      </w:r>
    </w:p>
    <w:p w14:paraId="6905563D" w14:textId="77777777" w:rsidR="002F290A" w:rsidRDefault="001C6795" w:rsidP="001C6795">
      <w:pPr>
        <w:pStyle w:val="Akapitzlist"/>
        <w:numPr>
          <w:ilvl w:val="0"/>
          <w:numId w:val="17"/>
        </w:numPr>
        <w:rPr>
          <w:rFonts w:cs="Times New Roman"/>
        </w:rPr>
      </w:pPr>
      <w:r>
        <w:t>Łączna liczba sztuk: 4, z montażem we wskazanej lokalizacji.</w:t>
      </w:r>
    </w:p>
    <w:p w14:paraId="0CCA4CA3" w14:textId="77777777" w:rsidR="002F290A" w:rsidRDefault="001C6795">
      <w:pPr>
        <w:pStyle w:val="Nagwek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Głowica radiowa (urządzenie do bezprzewodowej transmisji danych) typu B z anteną</w:t>
      </w:r>
    </w:p>
    <w:p w14:paraId="47EACC6D" w14:textId="77777777" w:rsidR="002F290A" w:rsidRDefault="001C6795" w:rsidP="001C6795">
      <w:pPr>
        <w:pStyle w:val="Akapitzlist"/>
        <w:numPr>
          <w:ilvl w:val="0"/>
          <w:numId w:val="17"/>
        </w:numPr>
      </w:pPr>
      <w:r>
        <w:t>Parametry techniczne głowicy: zgodnie z opisem głowicy typu B w dokumencie „Specyfikacja sieci międzyregionalnej”;</w:t>
      </w:r>
    </w:p>
    <w:p w14:paraId="15B148D1" w14:textId="77777777" w:rsidR="002F290A" w:rsidRDefault="001C6795" w:rsidP="001C6795">
      <w:pPr>
        <w:pStyle w:val="Akapitzlist"/>
        <w:numPr>
          <w:ilvl w:val="0"/>
          <w:numId w:val="17"/>
        </w:numPr>
      </w:pPr>
      <w:r>
        <w:t>Łączna liczba sztuk: 1, z montażem we wskazanej lokalizacji.</w:t>
      </w:r>
    </w:p>
    <w:p w14:paraId="4D433DE3" w14:textId="77777777" w:rsidR="002F290A" w:rsidRDefault="001C6795">
      <w:pPr>
        <w:pStyle w:val="Nagwek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Głowica radiowa (urządzenie do bezprzewodowej transmisji danych) typu E</w:t>
      </w:r>
    </w:p>
    <w:p w14:paraId="27A9FDA4" w14:textId="77777777" w:rsidR="002F290A" w:rsidRDefault="001C6795" w:rsidP="001C6795">
      <w:pPr>
        <w:pStyle w:val="Akapitzlist"/>
        <w:numPr>
          <w:ilvl w:val="0"/>
          <w:numId w:val="18"/>
        </w:numPr>
      </w:pPr>
      <w:r>
        <w:t>Parametry techniczne głowicy: zgodnie z opisem głowicy typu E w dokumencie „Specyfikacja sieci międzyregionalnej”;</w:t>
      </w:r>
    </w:p>
    <w:p w14:paraId="3F743DB1" w14:textId="77777777" w:rsidR="002F290A" w:rsidRDefault="001C6795" w:rsidP="001C6795">
      <w:pPr>
        <w:pStyle w:val="Akapitzlist"/>
        <w:numPr>
          <w:ilvl w:val="0"/>
          <w:numId w:val="18"/>
        </w:numPr>
      </w:pPr>
      <w:r>
        <w:t>Łączna liczba sztuk: 2, z montażem we wskazanej lokalizacji.</w:t>
      </w:r>
    </w:p>
    <w:p w14:paraId="696F8338" w14:textId="77777777" w:rsidR="002F290A" w:rsidRDefault="001C6795">
      <w:pPr>
        <w:pStyle w:val="Nagwek2"/>
      </w:pPr>
      <w:r>
        <w:rPr>
          <w:b/>
          <w:bCs/>
          <w:sz w:val="28"/>
          <w:szCs w:val="28"/>
        </w:rPr>
        <w:t>Jednostka BBU (Base Band Unit) do przetwarzania sygnałów w pasmie podstawowym, zarządzania, przełączania i sterowania ruchem, obsługi interfejsów radiowych, przeznaczona do obsługi ruchu i współpracy z głowicami radiowymi.</w:t>
      </w:r>
    </w:p>
    <w:p w14:paraId="7609E5F7" w14:textId="77777777" w:rsidR="002F290A" w:rsidRDefault="001C6795" w:rsidP="001C6795">
      <w:pPr>
        <w:pStyle w:val="Akapitzlist"/>
        <w:numPr>
          <w:ilvl w:val="0"/>
          <w:numId w:val="19"/>
        </w:numPr>
      </w:pPr>
      <w:r>
        <w:t>Parametry techniczne BBU zgodnie z opisem modułu centralnego stacji bazowej w dokumencie „Specyfikacja sieci międzyregionalnej”;</w:t>
      </w:r>
    </w:p>
    <w:p w14:paraId="74C820C6" w14:textId="77777777" w:rsidR="002F290A" w:rsidRDefault="001C6795" w:rsidP="001C6795">
      <w:pPr>
        <w:pStyle w:val="Akapitzlist"/>
        <w:numPr>
          <w:ilvl w:val="0"/>
          <w:numId w:val="19"/>
        </w:numPr>
      </w:pPr>
      <w:r>
        <w:t xml:space="preserve">Liczba i konfiguracja BBU dobrana przez </w:t>
      </w:r>
      <w:r w:rsidR="003E72E2">
        <w:t>wykonawcę</w:t>
      </w:r>
      <w:r>
        <w:t xml:space="preserve"> tak by możliwa była jednoczesna praca wszystkich głowic radiowych sieci 5G PCSS bez ograniczeń w parametrach i wydajności pracy;</w:t>
      </w:r>
    </w:p>
    <w:p w14:paraId="3C9E496F" w14:textId="77777777" w:rsidR="002F290A" w:rsidRDefault="002F290A"/>
    <w:p w14:paraId="1F740AC2" w14:textId="77777777" w:rsidR="002F290A" w:rsidRDefault="002F290A"/>
    <w:p w14:paraId="41CD6960" w14:textId="77777777" w:rsidR="002F290A" w:rsidRDefault="001C6795">
      <w:pPr>
        <w:pStyle w:val="Nagwek1"/>
        <w:rPr>
          <w:b/>
          <w:bCs/>
          <w:sz w:val="32"/>
        </w:rPr>
      </w:pPr>
      <w:r>
        <w:rPr>
          <w:b/>
          <w:bCs/>
          <w:sz w:val="32"/>
        </w:rPr>
        <w:lastRenderedPageBreak/>
        <w:t>Opis wymagań oraz miejsc instalacji elementów sieci RAN systemu 5G dla PCSS</w:t>
      </w:r>
    </w:p>
    <w:p w14:paraId="00506ADC" w14:textId="77777777" w:rsidR="002F290A" w:rsidRDefault="001C6795">
      <w:pPr>
        <w:pStyle w:val="Nagwek2"/>
        <w:rPr>
          <w:b/>
          <w:bCs/>
        </w:rPr>
      </w:pPr>
      <w:r>
        <w:rPr>
          <w:b/>
          <w:bCs/>
          <w:sz w:val="28"/>
          <w:szCs w:val="28"/>
        </w:rPr>
        <w:t xml:space="preserve">Hangar PCSS – </w:t>
      </w:r>
      <w:proofErr w:type="spellStart"/>
      <w:r>
        <w:rPr>
          <w:b/>
          <w:bCs/>
          <w:sz w:val="28"/>
          <w:szCs w:val="28"/>
        </w:rPr>
        <w:t>obr</w:t>
      </w:r>
      <w:proofErr w:type="spellEnd"/>
      <w:r>
        <w:rPr>
          <w:b/>
          <w:bCs/>
          <w:sz w:val="28"/>
          <w:szCs w:val="28"/>
        </w:rPr>
        <w:t>. Kąkolewo, gm. Grodzisk Wielkopolski, nr działki 391/33</w:t>
      </w:r>
    </w:p>
    <w:p w14:paraId="28202B60" w14:textId="77777777" w:rsidR="002F290A" w:rsidRDefault="001C6795">
      <w:pPr>
        <w:pStyle w:val="Nagwek3"/>
        <w:rPr>
          <w:b/>
          <w:bCs/>
        </w:rPr>
      </w:pPr>
      <w:r>
        <w:rPr>
          <w:b/>
          <w:bCs/>
          <w:highlight w:val="white"/>
        </w:rPr>
        <w:t xml:space="preserve"> Wymagania ogólne</w:t>
      </w:r>
    </w:p>
    <w:p w14:paraId="752CD738" w14:textId="77777777" w:rsidR="002F290A" w:rsidRDefault="001C6795">
      <w:pPr>
        <w:pStyle w:val="paragraph"/>
        <w:spacing w:before="0" w:beforeAutospacing="0" w:after="0" w:afterAutospacing="0"/>
        <w:jc w:val="both"/>
        <w:rPr>
          <w:rStyle w:val="normaltextrun"/>
          <w:rFonts w:eastAsiaTheme="majorEastAsia"/>
          <w:color w:val="000000"/>
          <w:highlight w:val="white"/>
        </w:rPr>
      </w:pPr>
      <w:r>
        <w:rPr>
          <w:rStyle w:val="normaltextrun"/>
          <w:rFonts w:eastAsiaTheme="majorEastAsia"/>
          <w:color w:val="000000"/>
        </w:rPr>
        <w:t xml:space="preserve">W ramach tej lokalizacji wymagana jest dostawa oraz instalacja elementów sieci radiowej wykorzystującej istniejącą infrastrukturę w obrębie Hangaru PCSS. </w:t>
      </w:r>
      <w:r>
        <w:rPr>
          <w:rStyle w:val="normaltextrun"/>
          <w:rFonts w:eastAsiaTheme="majorEastAsia"/>
          <w:color w:val="000000"/>
          <w:highlight w:val="white"/>
        </w:rPr>
        <w:t>Zamawiający wymaga, aby Wykonawca zaprojektował oraz wykonał wszystkie niezbędne elementy potrzebne do prawidłowej instalacji (tj. konstrukcje wsporcze pod anteny, trasy oraz drabinki kablowe) oraz eksploatacji elementów sieci radiowej, z zachowaniem niezbędnych norm budowlanych, elektrycznych oraz elektromagnetycznych.</w:t>
      </w:r>
    </w:p>
    <w:p w14:paraId="5449634C" w14:textId="77777777" w:rsidR="002F290A" w:rsidRDefault="001C6795">
      <w:pPr>
        <w:pStyle w:val="paragraph"/>
        <w:spacing w:before="0" w:beforeAutospacing="0" w:after="0" w:afterAutospacing="0"/>
        <w:jc w:val="both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 </w:t>
      </w:r>
    </w:p>
    <w:p w14:paraId="1E734070" w14:textId="77777777" w:rsidR="002F290A" w:rsidRDefault="001C6795">
      <w:pPr>
        <w:pStyle w:val="paragraph"/>
        <w:spacing w:before="0" w:beforeAutospacing="0" w:after="0" w:afterAutospacing="0"/>
        <w:jc w:val="both"/>
        <w:rPr>
          <w:rStyle w:val="eop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Zamawiający, w celu wykonania instalacji, zapewnia:</w:t>
      </w:r>
      <w:r>
        <w:rPr>
          <w:rStyle w:val="eop"/>
          <w:rFonts w:eastAsiaTheme="majorEastAsia"/>
          <w:color w:val="000000"/>
        </w:rPr>
        <w:t> </w:t>
      </w:r>
    </w:p>
    <w:p w14:paraId="467BDCC2" w14:textId="77777777" w:rsidR="002F290A" w:rsidRDefault="002F290A">
      <w:pPr>
        <w:pStyle w:val="paragraph"/>
        <w:spacing w:before="0" w:beforeAutospacing="0" w:after="0" w:afterAutospacing="0"/>
        <w:jc w:val="both"/>
        <w:rPr>
          <w:rStyle w:val="normaltextrun"/>
          <w:rFonts w:eastAsiaTheme="majorEastAsia"/>
          <w:color w:val="000000"/>
        </w:rPr>
      </w:pPr>
    </w:p>
    <w:p w14:paraId="18D0D0AD" w14:textId="77777777" w:rsidR="002F290A" w:rsidRDefault="001C6795">
      <w:pPr>
        <w:pStyle w:val="paragraph"/>
        <w:numPr>
          <w:ilvl w:val="0"/>
          <w:numId w:val="2"/>
        </w:numPr>
        <w:tabs>
          <w:tab w:val="clear" w:pos="-768"/>
          <w:tab w:val="num" w:pos="-432"/>
        </w:tabs>
        <w:spacing w:before="0" w:beforeAutospacing="0" w:after="0" w:afterAutospacing="0"/>
        <w:ind w:left="1416" w:firstLine="0"/>
        <w:jc w:val="both"/>
      </w:pPr>
      <w:r>
        <w:rPr>
          <w:rStyle w:val="normaltextrun"/>
          <w:rFonts w:eastAsiaTheme="majorEastAsia"/>
          <w:color w:val="000000"/>
        </w:rPr>
        <w:t>miejsce w szafie RACK 19” zlokalizowane w pomieszczeniu „TK” na potrzeby instalacji - nie więcej niż 6U</w:t>
      </w:r>
      <w:r>
        <w:rPr>
          <w:rStyle w:val="eop"/>
          <w:rFonts w:eastAsiaTheme="majorEastAsia"/>
          <w:color w:val="000000"/>
        </w:rPr>
        <w:t>,</w:t>
      </w:r>
    </w:p>
    <w:p w14:paraId="1DE23A4B" w14:textId="77777777" w:rsidR="002F290A" w:rsidRDefault="001C6795">
      <w:pPr>
        <w:pStyle w:val="paragraph"/>
        <w:numPr>
          <w:ilvl w:val="0"/>
          <w:numId w:val="2"/>
        </w:numPr>
        <w:tabs>
          <w:tab w:val="clear" w:pos="-768"/>
          <w:tab w:val="num" w:pos="-432"/>
        </w:tabs>
        <w:spacing w:before="0" w:beforeAutospacing="0" w:after="0" w:afterAutospacing="0"/>
        <w:ind w:left="1416" w:firstLine="0"/>
        <w:jc w:val="both"/>
        <w:rPr>
          <w:rStyle w:val="eop"/>
        </w:rPr>
      </w:pPr>
      <w:r>
        <w:rPr>
          <w:rStyle w:val="normaltextrun"/>
          <w:rFonts w:eastAsiaTheme="majorEastAsia"/>
          <w:color w:val="000000"/>
        </w:rPr>
        <w:t>zasilanie 230 V AC dostępne w szafie RACK,</w:t>
      </w:r>
    </w:p>
    <w:p w14:paraId="0AE300A1" w14:textId="77777777" w:rsidR="002F290A" w:rsidRDefault="001C6795" w:rsidP="001C6795">
      <w:pPr>
        <w:pStyle w:val="paragraph"/>
        <w:numPr>
          <w:ilvl w:val="0"/>
          <w:numId w:val="20"/>
        </w:numPr>
        <w:tabs>
          <w:tab w:val="clear" w:pos="720"/>
          <w:tab w:val="num" w:pos="1056"/>
        </w:tabs>
        <w:spacing w:before="0" w:beforeAutospacing="0" w:after="0" w:afterAutospacing="0"/>
        <w:ind w:left="1416" w:firstLine="0"/>
        <w:jc w:val="both"/>
        <w:rPr>
          <w:color w:val="000000"/>
        </w:rPr>
      </w:pPr>
      <w:r>
        <w:rPr>
          <w:rStyle w:val="normaltextrun"/>
          <w:rFonts w:eastAsiaTheme="majorEastAsia"/>
          <w:color w:val="000000"/>
        </w:rPr>
        <w:t xml:space="preserve">dostęp do </w:t>
      </w:r>
      <w:r>
        <w:t>łącza L2 ISO-OSI do serwerowni w Poznańskim Centrum Superkomputerowo-Sieciowym, gdzie ma być zainstalowany rdzeń sieci 5G.</w:t>
      </w:r>
    </w:p>
    <w:p w14:paraId="419BC880" w14:textId="77777777" w:rsidR="002F290A" w:rsidRDefault="002F290A">
      <w:pPr>
        <w:pStyle w:val="paragraph"/>
        <w:spacing w:before="0" w:beforeAutospacing="0" w:after="0" w:afterAutospacing="0"/>
        <w:jc w:val="both"/>
      </w:pPr>
    </w:p>
    <w:p w14:paraId="1067B031" w14:textId="77777777" w:rsidR="002F290A" w:rsidRDefault="001C6795">
      <w:pPr>
        <w:pStyle w:val="paragraph"/>
        <w:spacing w:before="0" w:beforeAutospacing="0" w:after="0" w:afterAutospacing="0"/>
        <w:jc w:val="both"/>
        <w:rPr>
          <w:rStyle w:val="eop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Wykonawca musi zapewnić:</w:t>
      </w:r>
      <w:r>
        <w:rPr>
          <w:rStyle w:val="eop"/>
          <w:rFonts w:eastAsiaTheme="majorEastAsia"/>
          <w:color w:val="000000"/>
        </w:rPr>
        <w:t> </w:t>
      </w:r>
    </w:p>
    <w:p w14:paraId="74DF0B88" w14:textId="77777777" w:rsidR="002F290A" w:rsidRDefault="002F290A">
      <w:pPr>
        <w:pStyle w:val="paragraph"/>
        <w:spacing w:before="0" w:beforeAutospacing="0" w:after="0" w:afterAutospacing="0"/>
        <w:jc w:val="both"/>
        <w:rPr>
          <w:rFonts w:ascii="Segoe UI" w:hAnsi="Segoe UI" w:cs="Segoe UI"/>
          <w:sz w:val="18"/>
          <w:szCs w:val="18"/>
        </w:rPr>
      </w:pPr>
    </w:p>
    <w:p w14:paraId="2BCA6867" w14:textId="77777777" w:rsidR="002F290A" w:rsidRDefault="001C6795">
      <w:pPr>
        <w:pStyle w:val="paragraph"/>
        <w:numPr>
          <w:ilvl w:val="0"/>
          <w:numId w:val="3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  <w:color w:val="000000"/>
        </w:rPr>
        <w:t>dostawę oraz instalację jednostki BBU w pomieszczeniu „TK”. Jednostka musi obsłużyć  sieć radiową w obrębie Hangaru PCSS opartą o głowice radiowe z p 1.1. oraz 1.2..</w:t>
      </w:r>
      <w:r>
        <w:rPr>
          <w:rStyle w:val="eop"/>
          <w:rFonts w:eastAsiaTheme="majorEastAsia"/>
          <w:color w:val="000000"/>
        </w:rPr>
        <w:t> </w:t>
      </w:r>
    </w:p>
    <w:p w14:paraId="0F1404F9" w14:textId="77777777" w:rsidR="002F290A" w:rsidRDefault="001C6795">
      <w:pPr>
        <w:pStyle w:val="paragraph"/>
        <w:numPr>
          <w:ilvl w:val="0"/>
          <w:numId w:val="3"/>
        </w:numPr>
        <w:spacing w:before="0" w:beforeAutospacing="0" w:after="0" w:afterAutospacing="0"/>
        <w:ind w:left="1080" w:firstLine="0"/>
        <w:jc w:val="both"/>
        <w:rPr>
          <w:rStyle w:val="eop"/>
        </w:rPr>
      </w:pPr>
      <w:r>
        <w:rPr>
          <w:rStyle w:val="normaltextrun"/>
          <w:rFonts w:eastAsiaTheme="majorEastAsia"/>
          <w:color w:val="000000"/>
        </w:rPr>
        <w:t xml:space="preserve"> dostawę oraz instalację wymaganej siłowni prądu stałego w pomieszczeniu „TK” </w:t>
      </w:r>
      <w:r>
        <w:rPr>
          <w:rStyle w:val="normaltextrun"/>
          <w:rFonts w:eastAsiaTheme="majorEastAsia"/>
        </w:rPr>
        <w:t>(o ile instalacja tego wymaga)</w:t>
      </w:r>
      <w:r>
        <w:rPr>
          <w:rStyle w:val="normaltextrun"/>
          <w:rFonts w:eastAsiaTheme="majorEastAsia"/>
          <w:color w:val="000000"/>
        </w:rPr>
        <w:t xml:space="preserve"> zapewniającej prawidłową pracę sieci RAN. Wykonawca musi dostarczyć siłownię o poborze mocy nie większym niż 6 </w:t>
      </w:r>
      <w:proofErr w:type="spellStart"/>
      <w:r>
        <w:rPr>
          <w:rStyle w:val="normaltextrun"/>
          <w:rFonts w:eastAsiaTheme="majorEastAsia"/>
          <w:color w:val="000000"/>
        </w:rPr>
        <w:t>kW.</w:t>
      </w:r>
      <w:proofErr w:type="spellEnd"/>
      <w:r>
        <w:rPr>
          <w:rStyle w:val="normaltextrun"/>
          <w:rFonts w:eastAsiaTheme="majorEastAsia"/>
          <w:color w:val="000000"/>
        </w:rPr>
        <w:t xml:space="preserve"> </w:t>
      </w:r>
    </w:p>
    <w:p w14:paraId="0E0F77DC" w14:textId="77777777" w:rsidR="002F290A" w:rsidRDefault="001C6795" w:rsidP="001C6795">
      <w:pPr>
        <w:pStyle w:val="paragraph"/>
        <w:numPr>
          <w:ilvl w:val="0"/>
          <w:numId w:val="22"/>
        </w:numPr>
        <w:tabs>
          <w:tab w:val="clear" w:pos="720"/>
        </w:tabs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  <w:color w:val="000000"/>
        </w:rPr>
        <w:t xml:space="preserve">dostawę oraz montaż wymaganego systemu GNSS zapewniającego synchronizację w sieci 5G, w szczególności dla jednostki BBU. Zamawiający wymaga, aby </w:t>
      </w:r>
      <w:r w:rsidR="003E72E2">
        <w:rPr>
          <w:rStyle w:val="normaltextrun"/>
          <w:rFonts w:eastAsiaTheme="majorEastAsia"/>
          <w:color w:val="000000"/>
        </w:rPr>
        <w:t>Wykonawca</w:t>
      </w:r>
      <w:r>
        <w:rPr>
          <w:rStyle w:val="normaltextrun"/>
          <w:rFonts w:eastAsiaTheme="majorEastAsia"/>
          <w:color w:val="000000"/>
        </w:rPr>
        <w:t xml:space="preserve"> w ramach instalacji zapewnił:</w:t>
      </w:r>
    </w:p>
    <w:p w14:paraId="0275FDA1" w14:textId="77777777" w:rsidR="002F290A" w:rsidRDefault="001C6795" w:rsidP="001C6795">
      <w:pPr>
        <w:pStyle w:val="paragraph"/>
        <w:numPr>
          <w:ilvl w:val="1"/>
          <w:numId w:val="22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  <w:color w:val="000000"/>
        </w:rPr>
        <w:t xml:space="preserve"> co najmniej 3 dodatkowe wyjścia sygnału GNSS (złącza SMA lub N) lub</w:t>
      </w:r>
    </w:p>
    <w:p w14:paraId="038FC0A4" w14:textId="77777777" w:rsidR="002F290A" w:rsidRDefault="001C6795" w:rsidP="001C6795">
      <w:pPr>
        <w:pStyle w:val="paragraph"/>
        <w:numPr>
          <w:ilvl w:val="1"/>
          <w:numId w:val="22"/>
        </w:numPr>
        <w:spacing w:before="0" w:beforeAutospacing="0" w:after="0" w:afterAutospacing="0"/>
        <w:ind w:left="1080" w:firstLine="0"/>
        <w:jc w:val="both"/>
        <w:rPr>
          <w:rStyle w:val="normaltextrun"/>
          <w:color w:val="000000"/>
        </w:rPr>
      </w:pPr>
      <w:r>
        <w:rPr>
          <w:rStyle w:val="normaltextrun"/>
          <w:rFonts w:eastAsiaTheme="majorEastAsia"/>
          <w:color w:val="000000"/>
        </w:rPr>
        <w:t xml:space="preserve"> co najmniej 4 porty zapewniające wsparcie dla profili ITU-T G.8275.1 i G.8275.2 (złącza RJ-45 i/lub SFP). </w:t>
      </w:r>
    </w:p>
    <w:p w14:paraId="3CDDFB11" w14:textId="77777777" w:rsidR="002F290A" w:rsidRDefault="001C6795">
      <w:pPr>
        <w:pStyle w:val="paragraph"/>
        <w:spacing w:before="0" w:beforeAutospacing="0" w:after="0" w:afterAutospacing="0"/>
        <w:ind w:left="1080"/>
        <w:jc w:val="both"/>
        <w:rPr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 xml:space="preserve">Miejsce instalacji oraz przebieg trasy wymaganego okablowania systemu GNSS należy uzgodnić z Zamawiającym. </w:t>
      </w:r>
    </w:p>
    <w:p w14:paraId="2AF5A172" w14:textId="77777777" w:rsidR="002F290A" w:rsidRDefault="001C6795">
      <w:pPr>
        <w:pStyle w:val="paragraph"/>
        <w:numPr>
          <w:ilvl w:val="0"/>
          <w:numId w:val="3"/>
        </w:numPr>
        <w:spacing w:before="0" w:beforeAutospacing="0" w:after="0" w:afterAutospacing="0"/>
        <w:ind w:left="1080" w:firstLine="0"/>
        <w:jc w:val="both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uruchomienie i przetestowanie wszystkich zainstalowanych komponentów pod kątem ich prawidłowej pracy,</w:t>
      </w:r>
    </w:p>
    <w:p w14:paraId="2C3F5AA5" w14:textId="77777777" w:rsidR="002F290A" w:rsidRDefault="001C6795">
      <w:pPr>
        <w:pStyle w:val="paragraph"/>
        <w:numPr>
          <w:ilvl w:val="0"/>
          <w:numId w:val="3"/>
        </w:numPr>
        <w:tabs>
          <w:tab w:val="clear" w:pos="720"/>
        </w:tabs>
        <w:spacing w:before="0" w:beforeAutospacing="0" w:after="0" w:afterAutospacing="0"/>
        <w:ind w:left="1080" w:firstLine="0"/>
        <w:jc w:val="both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wykonanie pomiarów instalacji elektrycznej i uziemiającej zainstalowanych komponentów.</w:t>
      </w:r>
    </w:p>
    <w:p w14:paraId="158549AE" w14:textId="77777777" w:rsidR="002F290A" w:rsidRDefault="002F290A">
      <w:pPr>
        <w:pStyle w:val="paragraph"/>
        <w:spacing w:before="0" w:beforeAutospacing="0" w:after="0" w:afterAutospacing="0"/>
        <w:jc w:val="both"/>
        <w:rPr>
          <w:rStyle w:val="normaltextrun"/>
          <w:rFonts w:eastAsiaTheme="majorEastAsia"/>
          <w:color w:val="000000"/>
        </w:rPr>
      </w:pPr>
    </w:p>
    <w:p w14:paraId="3568549B" w14:textId="77777777" w:rsidR="002F290A" w:rsidRDefault="002F290A">
      <w:pPr>
        <w:pStyle w:val="paragraph"/>
        <w:spacing w:before="0" w:beforeAutospacing="0" w:after="0" w:afterAutospacing="0"/>
        <w:jc w:val="both"/>
        <w:rPr>
          <w:rStyle w:val="normaltextrun"/>
          <w:rFonts w:eastAsiaTheme="majorEastAsia"/>
          <w:color w:val="000000"/>
        </w:rPr>
      </w:pPr>
    </w:p>
    <w:p w14:paraId="7E828137" w14:textId="77777777" w:rsidR="002F290A" w:rsidRDefault="002F290A">
      <w:pPr>
        <w:pStyle w:val="paragraph"/>
        <w:spacing w:before="0" w:beforeAutospacing="0" w:after="0" w:afterAutospacing="0"/>
        <w:jc w:val="both"/>
        <w:rPr>
          <w:rStyle w:val="normaltextrun"/>
          <w:rFonts w:eastAsiaTheme="majorEastAsia"/>
          <w:color w:val="000000"/>
        </w:rPr>
      </w:pPr>
    </w:p>
    <w:p w14:paraId="6FA4230C" w14:textId="77777777" w:rsidR="002F290A" w:rsidRDefault="002F290A">
      <w:pPr>
        <w:pStyle w:val="paragraph"/>
        <w:spacing w:before="0" w:beforeAutospacing="0" w:after="0" w:afterAutospacing="0"/>
        <w:jc w:val="both"/>
        <w:rPr>
          <w:rStyle w:val="normaltextrun"/>
          <w:rFonts w:eastAsiaTheme="majorEastAsia"/>
          <w:color w:val="000000"/>
        </w:rPr>
      </w:pPr>
    </w:p>
    <w:p w14:paraId="06E17E2C" w14:textId="77777777" w:rsidR="002F290A" w:rsidRDefault="002F290A">
      <w:pPr>
        <w:pStyle w:val="paragraph"/>
        <w:spacing w:before="0" w:beforeAutospacing="0" w:after="0" w:afterAutospacing="0"/>
        <w:jc w:val="both"/>
        <w:rPr>
          <w:rStyle w:val="normaltextrun"/>
          <w:rFonts w:eastAsiaTheme="majorEastAsia"/>
          <w:color w:val="000000"/>
        </w:rPr>
      </w:pPr>
    </w:p>
    <w:p w14:paraId="13B20660" w14:textId="77777777" w:rsidR="002F290A" w:rsidRDefault="002F290A">
      <w:pPr>
        <w:pStyle w:val="paragraph"/>
        <w:spacing w:before="0" w:beforeAutospacing="0" w:after="0" w:afterAutospacing="0"/>
        <w:jc w:val="both"/>
      </w:pPr>
    </w:p>
    <w:p w14:paraId="2FAB40AE" w14:textId="77777777" w:rsidR="002F290A" w:rsidRDefault="001C6795">
      <w:pPr>
        <w:pStyle w:val="Nagwek3"/>
        <w:rPr>
          <w:rStyle w:val="eop"/>
          <w:rFonts w:ascii="Calibri Light" w:hAnsi="Calibri Light" w:cs="Calibri Light"/>
          <w:color w:val="1F3763"/>
        </w:rPr>
      </w:pPr>
      <w:r>
        <w:rPr>
          <w:rStyle w:val="normaltextrun"/>
          <w:b/>
          <w:bCs/>
          <w:color w:val="000000"/>
          <w:highlight w:val="white"/>
        </w:rPr>
        <w:lastRenderedPageBreak/>
        <w:t>Wymagania na</w:t>
      </w:r>
      <w:r>
        <w:rPr>
          <w:rStyle w:val="normaltextrun"/>
          <w:b/>
          <w:bCs/>
          <w:color w:val="000000"/>
        </w:rPr>
        <w:t xml:space="preserve"> sieć w wariancie zewnętrznym opartą o 3-sektorową instalację głowic radiowych typu </w:t>
      </w:r>
      <w:r>
        <w:rPr>
          <w:rStyle w:val="contextualspellingandgrammarerror"/>
          <w:b/>
          <w:bCs/>
          <w:color w:val="000000"/>
        </w:rPr>
        <w:t>A.</w:t>
      </w:r>
      <w:r>
        <w:rPr>
          <w:rStyle w:val="normaltextrun"/>
          <w:b/>
          <w:bCs/>
          <w:color w:val="000000"/>
        </w:rPr>
        <w:t> </w:t>
      </w:r>
      <w:r>
        <w:rPr>
          <w:rStyle w:val="eop"/>
          <w:b/>
          <w:bCs/>
          <w:color w:val="000000"/>
        </w:rPr>
        <w:t> </w:t>
      </w:r>
    </w:p>
    <w:p w14:paraId="57DD28B4" w14:textId="77777777" w:rsidR="002F290A" w:rsidRDefault="002F290A">
      <w:pPr>
        <w:pStyle w:val="paragraph"/>
        <w:spacing w:before="0" w:beforeAutospacing="0" w:after="0" w:afterAutospacing="0"/>
        <w:jc w:val="both"/>
        <w:rPr>
          <w:rFonts w:ascii="Calibri Light" w:hAnsi="Calibri Light" w:cs="Calibri Light"/>
          <w:color w:val="1F3763"/>
        </w:rPr>
      </w:pPr>
    </w:p>
    <w:p w14:paraId="5A6F64E5" w14:textId="77777777" w:rsidR="002F290A" w:rsidRDefault="001C6795">
      <w:pPr>
        <w:pStyle w:val="paragraph"/>
        <w:spacing w:before="0" w:beforeAutospacing="0" w:after="0" w:afterAutospacing="0"/>
        <w:jc w:val="both"/>
        <w:rPr>
          <w:rStyle w:val="eop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Zamawiający, w celu wykonania instalacji, zapewnia:</w:t>
      </w:r>
      <w:r>
        <w:rPr>
          <w:rStyle w:val="eop"/>
          <w:rFonts w:eastAsiaTheme="majorEastAsia"/>
          <w:color w:val="000000"/>
        </w:rPr>
        <w:t>  </w:t>
      </w:r>
    </w:p>
    <w:p w14:paraId="7E7E876B" w14:textId="77777777" w:rsidR="002F290A" w:rsidRDefault="002F290A">
      <w:pPr>
        <w:pStyle w:val="paragraph"/>
        <w:spacing w:before="0" w:beforeAutospacing="0" w:after="0" w:afterAutospacing="0"/>
        <w:jc w:val="both"/>
        <w:rPr>
          <w:rFonts w:ascii="Segoe UI" w:hAnsi="Segoe UI" w:cs="Segoe UI"/>
          <w:sz w:val="18"/>
          <w:szCs w:val="18"/>
        </w:rPr>
      </w:pPr>
    </w:p>
    <w:p w14:paraId="571E1918" w14:textId="77777777" w:rsidR="002F290A" w:rsidRDefault="001C6795">
      <w:pPr>
        <w:pStyle w:val="paragraph"/>
        <w:numPr>
          <w:ilvl w:val="0"/>
          <w:numId w:val="4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  <w:color w:val="000000"/>
        </w:rPr>
        <w:t>istniejący maszt o wysokości h=5 m na dachu hangaru,</w:t>
      </w:r>
      <w:r>
        <w:rPr>
          <w:rStyle w:val="eop"/>
          <w:rFonts w:eastAsiaTheme="majorEastAsia"/>
          <w:color w:val="000000"/>
        </w:rPr>
        <w:t> </w:t>
      </w:r>
    </w:p>
    <w:p w14:paraId="38B5860F" w14:textId="77777777" w:rsidR="002F290A" w:rsidRDefault="001C6795">
      <w:pPr>
        <w:pStyle w:val="paragraph"/>
        <w:numPr>
          <w:ilvl w:val="0"/>
          <w:numId w:val="4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  <w:color w:val="000000"/>
        </w:rPr>
        <w:t>istniejący przepust kablowy u podstawy masztu,</w:t>
      </w:r>
      <w:r>
        <w:rPr>
          <w:rStyle w:val="eop"/>
          <w:rFonts w:eastAsiaTheme="majorEastAsia"/>
          <w:color w:val="000000"/>
        </w:rPr>
        <w:t> </w:t>
      </w:r>
    </w:p>
    <w:p w14:paraId="26E4CD36" w14:textId="77777777" w:rsidR="002F290A" w:rsidRDefault="001C6795">
      <w:pPr>
        <w:pStyle w:val="paragraph"/>
        <w:numPr>
          <w:ilvl w:val="0"/>
          <w:numId w:val="4"/>
        </w:numPr>
        <w:spacing w:before="0" w:beforeAutospacing="0" w:after="0" w:afterAutospacing="0"/>
        <w:ind w:left="1080" w:firstLine="0"/>
        <w:jc w:val="both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istniejące trasy kablowe dla prowadzenia zasilania i odrębne dla okablowania niskoprądowego i światłowodów.  </w:t>
      </w:r>
    </w:p>
    <w:p w14:paraId="32A14957" w14:textId="77777777" w:rsidR="002F290A" w:rsidRDefault="002F290A">
      <w:pPr>
        <w:pStyle w:val="paragraph"/>
        <w:spacing w:before="0" w:beforeAutospacing="0" w:after="0" w:afterAutospacing="0"/>
        <w:jc w:val="both"/>
        <w:rPr>
          <w:rStyle w:val="normaltextrun"/>
          <w:rFonts w:eastAsiaTheme="majorEastAsia"/>
          <w:color w:val="000000"/>
        </w:rPr>
      </w:pPr>
    </w:p>
    <w:p w14:paraId="70875556" w14:textId="77777777" w:rsidR="002F290A" w:rsidRDefault="001C6795">
      <w:pPr>
        <w:pStyle w:val="paragraph"/>
        <w:spacing w:before="0" w:beforeAutospacing="0" w:after="0" w:afterAutospacing="0"/>
        <w:jc w:val="both"/>
        <w:rPr>
          <w:rStyle w:val="eop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Wykonawca musi zapewnić:</w:t>
      </w:r>
      <w:r>
        <w:rPr>
          <w:rStyle w:val="eop"/>
          <w:rFonts w:eastAsiaTheme="majorEastAsia"/>
          <w:color w:val="000000"/>
        </w:rPr>
        <w:t> </w:t>
      </w:r>
    </w:p>
    <w:p w14:paraId="12E1B011" w14:textId="77777777" w:rsidR="002F290A" w:rsidRDefault="002F290A">
      <w:pPr>
        <w:pStyle w:val="paragraph"/>
        <w:spacing w:before="0" w:beforeAutospacing="0" w:after="0" w:afterAutospacing="0"/>
        <w:jc w:val="both"/>
        <w:rPr>
          <w:rFonts w:ascii="Segoe UI" w:hAnsi="Segoe UI" w:cs="Segoe UI"/>
          <w:sz w:val="18"/>
          <w:szCs w:val="18"/>
        </w:rPr>
      </w:pPr>
    </w:p>
    <w:p w14:paraId="772C3E56" w14:textId="77777777" w:rsidR="002F290A" w:rsidRDefault="001C6795">
      <w:pPr>
        <w:pStyle w:val="paragraph"/>
        <w:numPr>
          <w:ilvl w:val="0"/>
          <w:numId w:val="5"/>
        </w:numPr>
        <w:spacing w:before="0" w:beforeAutospacing="0" w:after="0" w:afterAutospacing="0"/>
        <w:ind w:left="1080" w:firstLine="0"/>
        <w:jc w:val="both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dostarczenie oraz instalację trzech głowic typu A wraz z antenami oraz odpowiednim zestawem montażowym. Anteny nie mogą wystawać ponad całkowitą wysokość masztu. Instalacja musi mieć formę 3-sektorowej stacji bazowej. Dane sektorów stacji bazowej oraz rysunek poglądowy:</w:t>
      </w:r>
      <w:r>
        <w:rPr>
          <w:rStyle w:val="eop"/>
          <w:rFonts w:eastAsiaTheme="majorEastAsia"/>
          <w:color w:val="000000"/>
        </w:rPr>
        <w:t> </w:t>
      </w:r>
    </w:p>
    <w:p w14:paraId="776051FD" w14:textId="77777777" w:rsidR="002F290A" w:rsidRDefault="001C6795" w:rsidP="001C6795">
      <w:pPr>
        <w:pStyle w:val="paragraph"/>
        <w:numPr>
          <w:ilvl w:val="2"/>
          <w:numId w:val="23"/>
        </w:numPr>
        <w:spacing w:before="0" w:beforeAutospacing="0" w:after="0" w:afterAutospacing="0"/>
        <w:jc w:val="both"/>
      </w:pPr>
      <w:r>
        <w:rPr>
          <w:rStyle w:val="normaltextrun"/>
          <w:rFonts w:eastAsiaTheme="majorEastAsia"/>
          <w:color w:val="000000"/>
        </w:rPr>
        <w:t>sektor 1: azymut 17</w:t>
      </w:r>
      <w:r>
        <w:rPr>
          <w:rFonts w:eastAsiaTheme="minorHAnsi" w:cstheme="minorBidi"/>
          <w:noProof/>
          <w:szCs w:val="22"/>
          <w:lang w:eastAsia="en-US"/>
        </w:rPr>
        <mc:AlternateContent>
          <mc:Choice Requires="wpg">
            <w:drawing>
              <wp:inline distT="0" distB="0" distL="0" distR="0" wp14:anchorId="2CC55A8C" wp14:editId="2A2F855A">
                <wp:extent cx="60325" cy="15557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83195832" name="Picture 1"/>
                        <pic:cNvPicPr>
                          <a:picLocks noChangeAspect="1"/>
                        </pic:cNvPicPr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324" cy="1555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.8pt;height:12.2pt;mso-wrap-distance-left:0.0pt;mso-wrap-distance-top:0.0pt;mso-wrap-distance-right:0.0pt;mso-wrap-distance-bottom:0.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Style w:val="normaltextrun"/>
          <w:rFonts w:eastAsiaTheme="majorEastAsia"/>
          <w:color w:val="000000"/>
        </w:rPr>
        <w:t xml:space="preserve"> , mechaniczne pochylenie sektora: 0</w:t>
      </w:r>
      <w:r>
        <w:rPr>
          <w:rFonts w:eastAsiaTheme="minorHAnsi" w:cstheme="minorBidi"/>
          <w:noProof/>
          <w:szCs w:val="22"/>
          <w:lang w:eastAsia="en-US"/>
        </w:rPr>
        <mc:AlternateContent>
          <mc:Choice Requires="wpg">
            <w:drawing>
              <wp:inline distT="0" distB="0" distL="0" distR="0" wp14:anchorId="7C1B9506" wp14:editId="49310462">
                <wp:extent cx="60325" cy="155575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36611927" name="Picture 2"/>
                        <pic:cNvPicPr>
                          <a:picLocks noChangeAspect="1"/>
                        </pic:cNvPicPr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324" cy="1555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.8pt;height:12.2pt;mso-wrap-distance-left:0.0pt;mso-wrap-distance-top:0.0pt;mso-wrap-distance-right:0.0pt;mso-wrap-distance-bottom:0.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Style w:val="normaltextrun"/>
          <w:rFonts w:eastAsiaTheme="majorEastAsia"/>
          <w:color w:val="000000"/>
        </w:rPr>
        <w:t>,</w:t>
      </w:r>
      <w:r>
        <w:rPr>
          <w:rStyle w:val="eop"/>
          <w:rFonts w:eastAsiaTheme="majorEastAsia"/>
          <w:color w:val="000000"/>
        </w:rPr>
        <w:t> </w:t>
      </w:r>
    </w:p>
    <w:p w14:paraId="453654B7" w14:textId="77777777" w:rsidR="002F290A" w:rsidRDefault="001C6795" w:rsidP="001C6795">
      <w:pPr>
        <w:pStyle w:val="paragraph"/>
        <w:numPr>
          <w:ilvl w:val="2"/>
          <w:numId w:val="23"/>
        </w:numPr>
        <w:spacing w:before="0" w:beforeAutospacing="0" w:after="0" w:afterAutospacing="0"/>
        <w:jc w:val="both"/>
      </w:pPr>
      <w:r>
        <w:rPr>
          <w:rStyle w:val="normaltextrun"/>
          <w:rFonts w:eastAsiaTheme="majorEastAsia"/>
          <w:color w:val="000000"/>
        </w:rPr>
        <w:t>sektor 2: azymut 137</w:t>
      </w:r>
      <w:r>
        <w:rPr>
          <w:rFonts w:eastAsiaTheme="minorHAnsi" w:cstheme="minorBidi"/>
          <w:noProof/>
          <w:szCs w:val="22"/>
          <w:lang w:eastAsia="en-US"/>
        </w:rPr>
        <mc:AlternateContent>
          <mc:Choice Requires="wpg">
            <w:drawing>
              <wp:inline distT="0" distB="0" distL="0" distR="0" wp14:anchorId="78821185" wp14:editId="30E70711">
                <wp:extent cx="60325" cy="155575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97256932" name="Picture 3"/>
                        <pic:cNvPicPr>
                          <a:picLocks noChangeAspect="1"/>
                        </pic:cNvPicPr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324" cy="1555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.8pt;height:12.2pt;mso-wrap-distance-left:0.0pt;mso-wrap-distance-top:0.0pt;mso-wrap-distance-right:0.0pt;mso-wrap-distance-bottom:0.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Style w:val="normaltextrun"/>
          <w:rFonts w:eastAsiaTheme="majorEastAsia"/>
          <w:color w:val="000000"/>
        </w:rPr>
        <w:t>, mechaniczne pochylenie sektora: 0</w:t>
      </w:r>
      <w:r>
        <w:rPr>
          <w:rFonts w:eastAsiaTheme="minorHAnsi" w:cstheme="minorBidi"/>
          <w:noProof/>
          <w:szCs w:val="22"/>
          <w:lang w:eastAsia="en-US"/>
        </w:rPr>
        <mc:AlternateContent>
          <mc:Choice Requires="wpg">
            <w:drawing>
              <wp:inline distT="0" distB="0" distL="0" distR="0" wp14:anchorId="2A06D272" wp14:editId="62C42CE3">
                <wp:extent cx="60325" cy="155575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32836906" name="Picture 4"/>
                        <pic:cNvPicPr>
                          <a:picLocks noChangeAspect="1"/>
                        </pic:cNvPicPr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324" cy="1555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4.8pt;height:12.2pt;mso-wrap-distance-left:0.0pt;mso-wrap-distance-top:0.0pt;mso-wrap-distance-right:0.0pt;mso-wrap-distance-bottom:0.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Style w:val="normaltextrun"/>
          <w:rFonts w:eastAsiaTheme="majorEastAsia"/>
          <w:color w:val="000000"/>
        </w:rPr>
        <w:t>,</w:t>
      </w:r>
      <w:r>
        <w:rPr>
          <w:rStyle w:val="eop"/>
          <w:rFonts w:eastAsiaTheme="majorEastAsia"/>
          <w:color w:val="000000"/>
        </w:rPr>
        <w:t> </w:t>
      </w:r>
    </w:p>
    <w:p w14:paraId="505CC96B" w14:textId="77777777" w:rsidR="002F290A" w:rsidRDefault="001C6795" w:rsidP="001C6795">
      <w:pPr>
        <w:pStyle w:val="paragraph"/>
        <w:numPr>
          <w:ilvl w:val="2"/>
          <w:numId w:val="23"/>
        </w:numPr>
        <w:spacing w:before="0" w:beforeAutospacing="0" w:after="0" w:afterAutospacing="0"/>
        <w:jc w:val="both"/>
      </w:pPr>
      <w:r>
        <w:rPr>
          <w:rStyle w:val="normaltextrun"/>
          <w:rFonts w:eastAsiaTheme="majorEastAsia"/>
          <w:color w:val="000000"/>
        </w:rPr>
        <w:t>sektor 3: azymut 257</w:t>
      </w:r>
      <w:r>
        <w:rPr>
          <w:rFonts w:eastAsiaTheme="minorHAnsi" w:cstheme="minorBidi"/>
          <w:noProof/>
          <w:szCs w:val="22"/>
          <w:lang w:eastAsia="en-US"/>
        </w:rPr>
        <mc:AlternateContent>
          <mc:Choice Requires="wpg">
            <w:drawing>
              <wp:inline distT="0" distB="0" distL="0" distR="0" wp14:anchorId="1AFAF9A0" wp14:editId="29473DF4">
                <wp:extent cx="60325" cy="155575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03013822" name="Picture 5"/>
                        <pic:cNvPicPr>
                          <a:picLocks noChangeAspect="1"/>
                        </pic:cNvPicPr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324" cy="1555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4.8pt;height:12.2pt;mso-wrap-distance-left:0.0pt;mso-wrap-distance-top:0.0pt;mso-wrap-distance-right:0.0pt;mso-wrap-distance-bottom:0.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Style w:val="normaltextrun"/>
          <w:rFonts w:eastAsiaTheme="majorEastAsia"/>
          <w:color w:val="000000"/>
        </w:rPr>
        <w:t>, mechaniczne pochylenie sektora: 0</w:t>
      </w:r>
      <w:r>
        <w:rPr>
          <w:rFonts w:eastAsiaTheme="minorHAnsi" w:cstheme="minorBidi"/>
          <w:noProof/>
          <w:szCs w:val="22"/>
          <w:lang w:eastAsia="en-US"/>
        </w:rPr>
        <mc:AlternateContent>
          <mc:Choice Requires="wpg">
            <w:drawing>
              <wp:inline distT="0" distB="0" distL="0" distR="0" wp14:anchorId="2D20706A" wp14:editId="508563E1">
                <wp:extent cx="60325" cy="155575"/>
                <wp:effectExtent l="0" t="0" r="0" b="0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1994126" name="Picture 6"/>
                        <pic:cNvPicPr>
                          <a:picLocks noChangeAspect="1"/>
                        </pic:cNvPicPr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324" cy="1555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4.8pt;height:12.2pt;mso-wrap-distance-left:0.0pt;mso-wrap-distance-top:0.0pt;mso-wrap-distance-right:0.0pt;mso-wrap-distance-bottom:0.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Style w:val="normaltextrun"/>
          <w:rFonts w:eastAsiaTheme="majorEastAsia"/>
          <w:color w:val="000000"/>
        </w:rPr>
        <w:t>.</w:t>
      </w:r>
      <w:r>
        <w:rPr>
          <w:rStyle w:val="eop"/>
          <w:rFonts w:eastAsiaTheme="majorEastAsia"/>
          <w:color w:val="000000"/>
        </w:rPr>
        <w:t> </w:t>
      </w:r>
    </w:p>
    <w:p w14:paraId="12A7FF04" w14:textId="77777777" w:rsidR="002F290A" w:rsidRDefault="002F290A">
      <w:pPr>
        <w:pStyle w:val="paragraph"/>
        <w:spacing w:before="0" w:beforeAutospacing="0" w:after="0" w:afterAutospacing="0"/>
        <w:jc w:val="both"/>
      </w:pPr>
    </w:p>
    <w:p w14:paraId="51EEFA91" w14:textId="77777777" w:rsidR="002F290A" w:rsidRDefault="001C6795">
      <w:pPr>
        <w:pStyle w:val="paragraph"/>
        <w:spacing w:before="0" w:beforeAutospacing="0" w:after="0" w:afterAutospacing="0"/>
        <w:ind w:left="1080"/>
        <w:jc w:val="center"/>
        <w:rPr>
          <w:rStyle w:val="normaltextrun"/>
          <w:rFonts w:eastAsiaTheme="majorEastAsia"/>
          <w:color w:val="000000"/>
        </w:rPr>
      </w:pPr>
      <w:r>
        <w:rPr>
          <w:rFonts w:eastAsiaTheme="minorHAnsi" w:cstheme="minorBidi"/>
          <w:noProof/>
          <w:szCs w:val="22"/>
          <w:lang w:eastAsia="en-US"/>
        </w:rPr>
        <mc:AlternateContent>
          <mc:Choice Requires="wpg">
            <w:drawing>
              <wp:inline distT="0" distB="0" distL="0" distR="0" wp14:anchorId="2855929F" wp14:editId="75E6961B">
                <wp:extent cx="4757276" cy="3290030"/>
                <wp:effectExtent l="6350" t="6350" r="6350" b="635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00323398" name="Picture 7"/>
                        <pic:cNvPicPr>
                          <a:picLocks noChangeAspect="1"/>
                        </pic:cNvPicPr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4757275" cy="32900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374.6pt;height:259.1pt;mso-wrap-distance-left:0.0pt;mso-wrap-distance-top:0.0pt;mso-wrap-distance-right:0.0pt;mso-wrap-distance-bottom:0.0pt;" stroked="f">
                <v:path textboxrect="0,0,0,0"/>
                <v:imagedata r:id="rId15" o:title=""/>
              </v:shape>
            </w:pict>
          </mc:Fallback>
        </mc:AlternateContent>
      </w:r>
    </w:p>
    <w:p w14:paraId="580F7CC4" w14:textId="77777777" w:rsidR="002F290A" w:rsidRDefault="001C6795">
      <w:pPr>
        <w:pStyle w:val="paragraph"/>
        <w:numPr>
          <w:ilvl w:val="0"/>
          <w:numId w:val="5"/>
        </w:numPr>
        <w:spacing w:before="0" w:beforeAutospacing="0" w:after="0" w:afterAutospacing="0"/>
        <w:ind w:left="1080" w:firstLine="0"/>
        <w:jc w:val="both"/>
        <w:rPr>
          <w:rStyle w:val="normaltextrun"/>
          <w:highlight w:val="white"/>
        </w:rPr>
      </w:pPr>
      <w:r>
        <w:rPr>
          <w:rStyle w:val="normaltextrun"/>
          <w:rFonts w:eastAsiaTheme="majorEastAsia"/>
          <w:color w:val="000000"/>
          <w:highlight w:val="white"/>
        </w:rPr>
        <w:t xml:space="preserve"> zaprojektowanie, dostarczenie oraz instalację elementów niezbędnych do prawidłowej instalacji głowic typu A wraz z antenami na istniejącym maszcie. Sposób montażu należy uzgodnić z Zamawiającym oraz uzyskać jego akceptację.</w:t>
      </w:r>
      <w:r>
        <w:rPr>
          <w:rStyle w:val="eop"/>
          <w:rFonts w:eastAsiaTheme="majorEastAsia"/>
          <w:color w:val="000000"/>
          <w:highlight w:val="white"/>
        </w:rPr>
        <w:t> </w:t>
      </w:r>
    </w:p>
    <w:p w14:paraId="65326137" w14:textId="77777777" w:rsidR="002F290A" w:rsidRDefault="001C6795">
      <w:pPr>
        <w:pStyle w:val="paragraph"/>
        <w:numPr>
          <w:ilvl w:val="0"/>
          <w:numId w:val="5"/>
        </w:numPr>
        <w:spacing w:before="0" w:beforeAutospacing="0" w:after="0" w:afterAutospacing="0"/>
        <w:ind w:left="1080" w:firstLine="0"/>
        <w:jc w:val="both"/>
        <w:rPr>
          <w:rStyle w:val="normaltextrun"/>
          <w:highlight w:val="white"/>
        </w:rPr>
      </w:pPr>
      <w:r>
        <w:rPr>
          <w:rStyle w:val="normaltextrun"/>
          <w:rFonts w:eastAsiaTheme="majorEastAsia"/>
          <w:color w:val="000000"/>
          <w:highlight w:val="white"/>
        </w:rPr>
        <w:t>zaprojektowanie, dostarczenie oraz ułożenie niezbędnych tras/drabinek kablowych w relacji pomieszczenie „</w:t>
      </w:r>
      <w:r>
        <w:rPr>
          <w:rStyle w:val="contextualspellingandgrammarerror"/>
          <w:rFonts w:eastAsiaTheme="majorEastAsia"/>
          <w:color w:val="000000"/>
          <w:highlight w:val="white"/>
        </w:rPr>
        <w:t>TK”-</w:t>
      </w:r>
      <w:r>
        <w:rPr>
          <w:rStyle w:val="normaltextrun"/>
          <w:rFonts w:eastAsiaTheme="majorEastAsia"/>
          <w:color w:val="000000"/>
          <w:highlight w:val="white"/>
        </w:rPr>
        <w:t>maszt z zastrzeżeniem optymalnego wykorzystania istniejącej infrastruktury oraz zastrzeżeniem zaprojektowania zgodnie z technologią obowiązującą na obiekcie. Przebieg tras i okablowania należy uzgodnić z Zamawiającym oraz uzyskać jego akceptację.</w:t>
      </w:r>
      <w:r>
        <w:rPr>
          <w:rStyle w:val="normaltextrun"/>
          <w:highlight w:val="white"/>
        </w:rPr>
        <w:t xml:space="preserve"> </w:t>
      </w:r>
      <w:r>
        <w:rPr>
          <w:rStyle w:val="eop"/>
          <w:rFonts w:eastAsiaTheme="majorEastAsia"/>
        </w:rPr>
        <w:t> </w:t>
      </w:r>
    </w:p>
    <w:p w14:paraId="58C8580A" w14:textId="77777777" w:rsidR="002F290A" w:rsidRDefault="001C6795" w:rsidP="001C6795">
      <w:pPr>
        <w:pStyle w:val="paragraph"/>
        <w:numPr>
          <w:ilvl w:val="0"/>
          <w:numId w:val="6"/>
        </w:numPr>
        <w:spacing w:before="0" w:beforeAutospacing="0" w:after="0" w:afterAutospacing="0"/>
        <w:ind w:left="1080" w:firstLine="0"/>
        <w:jc w:val="both"/>
        <w:rPr>
          <w:rStyle w:val="eop"/>
        </w:rPr>
      </w:pPr>
      <w:r>
        <w:rPr>
          <w:rStyle w:val="normaltextrun"/>
          <w:rFonts w:eastAsiaTheme="majorEastAsia"/>
          <w:color w:val="000000"/>
        </w:rPr>
        <w:t>dostarczenie oraz instalację niezbędnego okablowania do zasilenia głowic radiowych wraz z połączeniami światłowodowymi z zastosowaniem okablowania odpornego na warunki atmosferyczne.</w:t>
      </w:r>
      <w:r>
        <w:rPr>
          <w:rStyle w:val="eop"/>
          <w:rFonts w:eastAsiaTheme="majorEastAsia"/>
          <w:color w:val="000000"/>
        </w:rPr>
        <w:t> </w:t>
      </w:r>
    </w:p>
    <w:p w14:paraId="18E66867" w14:textId="77777777" w:rsidR="002F290A" w:rsidRDefault="001C6795">
      <w:pPr>
        <w:pStyle w:val="Nagwek3"/>
        <w:rPr>
          <w:color w:val="1F3763"/>
        </w:rPr>
      </w:pPr>
      <w:r>
        <w:rPr>
          <w:rStyle w:val="normaltextrun"/>
          <w:b/>
          <w:bCs/>
          <w:color w:val="000000" w:themeColor="text1"/>
          <w:highlight w:val="white"/>
        </w:rPr>
        <w:lastRenderedPageBreak/>
        <w:t>Wymagania na</w:t>
      </w:r>
      <w:r>
        <w:rPr>
          <w:rStyle w:val="normaltextrun"/>
          <w:b/>
          <w:bCs/>
          <w:color w:val="000000" w:themeColor="text1"/>
        </w:rPr>
        <w:t xml:space="preserve"> sieć w wariancie wewnętrznym opartą o jedną głowicę typu A oraz jedną głowicę typu B.</w:t>
      </w:r>
      <w:r>
        <w:rPr>
          <w:rStyle w:val="normaltextrun"/>
          <w:color w:val="000000" w:themeColor="text1"/>
        </w:rPr>
        <w:t>  </w:t>
      </w:r>
    </w:p>
    <w:p w14:paraId="5A3FF90E" w14:textId="77777777" w:rsidR="002F290A" w:rsidRDefault="002F290A">
      <w:pPr>
        <w:pStyle w:val="paragraph"/>
        <w:spacing w:before="0" w:beforeAutospacing="0" w:after="0" w:afterAutospacing="0"/>
        <w:jc w:val="both"/>
      </w:pPr>
    </w:p>
    <w:p w14:paraId="63426C6B" w14:textId="77777777" w:rsidR="002F290A" w:rsidRDefault="001C6795">
      <w:pPr>
        <w:pStyle w:val="paragraph"/>
        <w:spacing w:before="0" w:beforeAutospacing="0" w:after="0" w:afterAutospacing="0"/>
        <w:jc w:val="both"/>
        <w:rPr>
          <w:rStyle w:val="eop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Zamawiający, w celu wykonania instalacji, zapewnia:</w:t>
      </w:r>
      <w:r>
        <w:rPr>
          <w:rStyle w:val="eop"/>
          <w:rFonts w:eastAsiaTheme="majorEastAsia"/>
          <w:color w:val="000000"/>
        </w:rPr>
        <w:t>  </w:t>
      </w:r>
    </w:p>
    <w:p w14:paraId="06463904" w14:textId="77777777" w:rsidR="002F290A" w:rsidRDefault="002F290A">
      <w:pPr>
        <w:pStyle w:val="paragraph"/>
        <w:spacing w:before="0" w:beforeAutospacing="0" w:after="0" w:afterAutospacing="0"/>
        <w:jc w:val="both"/>
        <w:rPr>
          <w:rFonts w:ascii="Segoe UI" w:hAnsi="Segoe UI" w:cs="Segoe UI"/>
          <w:sz w:val="18"/>
          <w:szCs w:val="18"/>
        </w:rPr>
      </w:pPr>
    </w:p>
    <w:p w14:paraId="4F05F065" w14:textId="77777777" w:rsidR="002F290A" w:rsidRDefault="001C6795" w:rsidP="001C6795">
      <w:pPr>
        <w:pStyle w:val="paragraph"/>
        <w:numPr>
          <w:ilvl w:val="0"/>
          <w:numId w:val="7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  <w:color w:val="000000"/>
        </w:rPr>
        <w:t>miejsce na instalację obu głowic: podest techniczny znajdujący się przy wyjściu na dach hangaru,</w:t>
      </w:r>
      <w:r>
        <w:rPr>
          <w:rStyle w:val="eop"/>
          <w:rFonts w:eastAsiaTheme="majorEastAsia"/>
          <w:color w:val="000000"/>
        </w:rPr>
        <w:t> </w:t>
      </w:r>
    </w:p>
    <w:p w14:paraId="31E43765" w14:textId="77777777" w:rsidR="002F290A" w:rsidRDefault="001C6795" w:rsidP="001C6795">
      <w:pPr>
        <w:pStyle w:val="paragraph"/>
        <w:numPr>
          <w:ilvl w:val="0"/>
          <w:numId w:val="7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  <w:color w:val="000000"/>
        </w:rPr>
        <w:t>istniejące trasy kablowe dla prowadzenia zasilania i odrębne dla okablowania niskoprądowego i światłowodów.</w:t>
      </w:r>
      <w:r>
        <w:rPr>
          <w:rStyle w:val="normaltextrun"/>
        </w:rPr>
        <w:t xml:space="preserve"> </w:t>
      </w:r>
    </w:p>
    <w:p w14:paraId="1B2DFC54" w14:textId="77777777" w:rsidR="002F290A" w:rsidRDefault="002F290A">
      <w:pPr>
        <w:pStyle w:val="paragraph"/>
        <w:spacing w:before="0" w:beforeAutospacing="0" w:after="0" w:afterAutospacing="0"/>
        <w:jc w:val="both"/>
        <w:rPr>
          <w:rStyle w:val="eop"/>
          <w:rFonts w:eastAsiaTheme="majorEastAsia"/>
        </w:rPr>
      </w:pPr>
    </w:p>
    <w:p w14:paraId="4E35E5CD" w14:textId="77777777" w:rsidR="002F290A" w:rsidRDefault="001C6795">
      <w:pPr>
        <w:pStyle w:val="paragraph"/>
        <w:spacing w:before="0" w:beforeAutospacing="0" w:after="0" w:afterAutospacing="0"/>
        <w:jc w:val="both"/>
        <w:rPr>
          <w:rStyle w:val="eop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Wykonawca musi zapewnić:</w:t>
      </w:r>
      <w:r>
        <w:rPr>
          <w:rStyle w:val="eop"/>
          <w:rFonts w:eastAsiaTheme="majorEastAsia"/>
          <w:color w:val="000000"/>
        </w:rPr>
        <w:t> </w:t>
      </w:r>
    </w:p>
    <w:p w14:paraId="04BDC7A9" w14:textId="77777777" w:rsidR="002F290A" w:rsidRDefault="001C6795" w:rsidP="001C6795">
      <w:pPr>
        <w:pStyle w:val="paragraph"/>
        <w:numPr>
          <w:ilvl w:val="0"/>
          <w:numId w:val="8"/>
        </w:numPr>
        <w:spacing w:before="0" w:beforeAutospacing="0" w:after="0" w:afterAutospacing="0"/>
        <w:ind w:left="1080" w:firstLine="0"/>
        <w:jc w:val="both"/>
        <w:rPr>
          <w:rStyle w:val="normaltextrun"/>
          <w:rFonts w:eastAsiaTheme="majorEastAsia"/>
          <w:color w:val="000000" w:themeColor="text1"/>
        </w:rPr>
      </w:pPr>
      <w:r>
        <w:rPr>
          <w:rStyle w:val="normaltextrun"/>
          <w:rFonts w:eastAsiaTheme="majorEastAsia"/>
          <w:color w:val="000000"/>
        </w:rPr>
        <w:t>dostarczenie oraz instalację głowicy typu A wraz z anteną i głowicy typu B wraz z anteną oraz odpowiednimi zestawami montażowymi.</w:t>
      </w:r>
    </w:p>
    <w:p w14:paraId="7FA15E3B" w14:textId="77777777" w:rsidR="002F290A" w:rsidRDefault="001C6795" w:rsidP="001C6795">
      <w:pPr>
        <w:pStyle w:val="paragraph"/>
        <w:numPr>
          <w:ilvl w:val="0"/>
          <w:numId w:val="8"/>
        </w:numPr>
        <w:spacing w:before="0" w:beforeAutospacing="0" w:after="0" w:afterAutospacing="0"/>
        <w:ind w:left="1080" w:firstLine="0"/>
        <w:jc w:val="both"/>
        <w:rPr>
          <w:rStyle w:val="normaltextrun"/>
          <w:highlight w:val="white"/>
        </w:rPr>
      </w:pPr>
      <w:r>
        <w:rPr>
          <w:rStyle w:val="normaltextrun"/>
          <w:rFonts w:eastAsiaTheme="majorEastAsia"/>
          <w:color w:val="000000"/>
          <w:highlight w:val="white"/>
        </w:rPr>
        <w:t xml:space="preserve"> zaprojektowanie, dostarczenie oraz instalację elementów niezbędnych do prawidłowego zamontowania głowic</w:t>
      </w:r>
      <w:r>
        <w:rPr>
          <w:rStyle w:val="normaltextrun"/>
          <w:rFonts w:eastAsiaTheme="majorEastAsia"/>
          <w:color w:val="000000" w:themeColor="text1"/>
          <w:highlight w:val="white"/>
        </w:rPr>
        <w:t>y typu A wraz z anteną oraz głowicy typu B wraz z anteną na podeście technicznym. Sposób montażu należy uzgodnić z Zamawiającym.</w:t>
      </w:r>
      <w:r>
        <w:rPr>
          <w:rStyle w:val="eop"/>
          <w:rFonts w:eastAsiaTheme="majorEastAsia"/>
          <w:color w:val="000000" w:themeColor="text1"/>
          <w:highlight w:val="white"/>
        </w:rPr>
        <w:t> </w:t>
      </w:r>
    </w:p>
    <w:p w14:paraId="6CA8F458" w14:textId="77777777" w:rsidR="002F290A" w:rsidRDefault="001C6795" w:rsidP="001C6795">
      <w:pPr>
        <w:pStyle w:val="paragraph"/>
        <w:numPr>
          <w:ilvl w:val="0"/>
          <w:numId w:val="21"/>
        </w:numPr>
        <w:spacing w:before="0" w:beforeAutospacing="0" w:after="0" w:afterAutospacing="0"/>
        <w:ind w:left="1080" w:firstLine="0"/>
        <w:jc w:val="both"/>
        <w:rPr>
          <w:highlight w:val="white"/>
        </w:rPr>
      </w:pPr>
      <w:r>
        <w:rPr>
          <w:rStyle w:val="normaltextrun"/>
          <w:rFonts w:eastAsiaTheme="majorEastAsia"/>
          <w:color w:val="000000"/>
          <w:highlight w:val="white"/>
        </w:rPr>
        <w:t>zaprojektowanie, dostarczenie oraz ułożenie niezbędnych tras/drabinek kablowych w relacji pomieszczenie „</w:t>
      </w:r>
      <w:r>
        <w:rPr>
          <w:rStyle w:val="contextualspellingandgrammarerror"/>
          <w:rFonts w:eastAsiaTheme="majorEastAsia"/>
          <w:color w:val="000000"/>
          <w:highlight w:val="white"/>
        </w:rPr>
        <w:t>TK”-</w:t>
      </w:r>
      <w:r>
        <w:rPr>
          <w:rStyle w:val="normaltextrun"/>
          <w:rFonts w:eastAsiaTheme="majorEastAsia"/>
          <w:color w:val="000000"/>
          <w:highlight w:val="white"/>
        </w:rPr>
        <w:t>podest techniczny z zastrzeżeniem optymalnego wykorzystania istniejącej infrastruktury oraz zastrzeżeniem zaprojektowania zgodnie z technologią obowiązującą na obiekcie. Przebieg tras i okablowania należy uzgodnić z Zamawiającym oraz uzyskać jego akceptację.</w:t>
      </w:r>
      <w:r>
        <w:rPr>
          <w:rStyle w:val="normaltextrun"/>
          <w:highlight w:val="white"/>
        </w:rPr>
        <w:t xml:space="preserve"> </w:t>
      </w:r>
    </w:p>
    <w:p w14:paraId="28B2B800" w14:textId="77777777" w:rsidR="002F290A" w:rsidRDefault="001C6795" w:rsidP="001C6795">
      <w:pPr>
        <w:pStyle w:val="paragraph"/>
        <w:numPr>
          <w:ilvl w:val="0"/>
          <w:numId w:val="8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  <w:color w:val="000000"/>
        </w:rPr>
        <w:t>instalację  uwzględniającą odpowiednie pochylenie mechaniczne oraz azymuty obu anten w celu zapewnienia jak najlepszych warunków propagacyjnych wewnątrz hangaru. Wspominane parametry muszą być ustalone z Zamawiającym oraz uzyskać jego akceptację, </w:t>
      </w:r>
      <w:r>
        <w:rPr>
          <w:rStyle w:val="eop"/>
          <w:rFonts w:eastAsiaTheme="majorEastAsia"/>
          <w:color w:val="000000"/>
        </w:rPr>
        <w:t> </w:t>
      </w:r>
    </w:p>
    <w:p w14:paraId="6B499E5B" w14:textId="77777777" w:rsidR="002F290A" w:rsidRDefault="001C6795" w:rsidP="001C6795">
      <w:pPr>
        <w:pStyle w:val="paragraph"/>
        <w:numPr>
          <w:ilvl w:val="0"/>
          <w:numId w:val="8"/>
        </w:numPr>
        <w:spacing w:before="0" w:beforeAutospacing="0" w:after="0" w:afterAutospacing="0"/>
        <w:ind w:left="1080" w:firstLine="0"/>
        <w:jc w:val="both"/>
        <w:rPr>
          <w:rStyle w:val="eop"/>
        </w:rPr>
      </w:pPr>
      <w:r>
        <w:rPr>
          <w:rStyle w:val="normaltextrun"/>
          <w:rFonts w:eastAsiaTheme="majorEastAsia"/>
          <w:color w:val="000000"/>
        </w:rPr>
        <w:t>dostarczenie oraz instalację niezbędnego okablowania do zasilenia modułów radiowych wraz z połączeniami światłowodowymi.</w:t>
      </w:r>
    </w:p>
    <w:p w14:paraId="024CF868" w14:textId="77777777" w:rsidR="002F290A" w:rsidRDefault="002F290A">
      <w:pPr>
        <w:pStyle w:val="paragraph"/>
        <w:spacing w:before="0" w:beforeAutospacing="0" w:after="0" w:afterAutospacing="0"/>
        <w:jc w:val="both"/>
      </w:pPr>
    </w:p>
    <w:p w14:paraId="5DE25E42" w14:textId="104E2789" w:rsidR="002F290A" w:rsidRDefault="001C6795">
      <w:r>
        <w:rPr>
          <w:b/>
          <w:bCs/>
        </w:rPr>
        <w:t>Rozwiązanie opcjonalne</w:t>
      </w:r>
      <w:r w:rsidR="009F1CA3">
        <w:rPr>
          <w:b/>
          <w:bCs/>
        </w:rPr>
        <w:t xml:space="preserve"> (kryterium oceny ofert)</w:t>
      </w:r>
      <w:r>
        <w:rPr>
          <w:b/>
          <w:bCs/>
        </w:rPr>
        <w:t>:</w:t>
      </w:r>
    </w:p>
    <w:p w14:paraId="5046F7D3" w14:textId="77777777" w:rsidR="002F290A" w:rsidRDefault="001C6795">
      <w:pPr>
        <w:pStyle w:val="paragraph"/>
        <w:spacing w:before="0" w:beforeAutospacing="0" w:after="0" w:afterAutospacing="0"/>
        <w:jc w:val="both"/>
        <w:rPr>
          <w:b/>
          <w:bCs/>
          <w:color w:val="000000"/>
        </w:rPr>
      </w:pPr>
      <w:r>
        <w:t xml:space="preserve">Jeżeli rozwiązanie oferowane przez </w:t>
      </w:r>
      <w:r w:rsidR="003E72E2">
        <w:t>Wykonawcę</w:t>
      </w:r>
      <w:r>
        <w:t xml:space="preserve"> nie obejmuje dostarczenia i montażu wyżej wspomnianych masztów oraz drabinek kablowych Zamawiający zobowiązuje się do realizacji tych prac we własnym zakresie.</w:t>
      </w:r>
    </w:p>
    <w:p w14:paraId="4D9E2F12" w14:textId="77777777" w:rsidR="002F290A" w:rsidRDefault="002F290A">
      <w:pPr>
        <w:pStyle w:val="paragraph"/>
        <w:spacing w:before="0" w:beforeAutospacing="0" w:after="0" w:afterAutospacing="0"/>
        <w:jc w:val="both"/>
      </w:pPr>
    </w:p>
    <w:p w14:paraId="4880A213" w14:textId="77777777" w:rsidR="002F290A" w:rsidRDefault="001C6795">
      <w:pPr>
        <w:pStyle w:val="Nagwek3"/>
        <w:rPr>
          <w:rFonts w:ascii="Calibri Light" w:hAnsi="Calibri Light" w:cs="Calibri Light"/>
          <w:color w:val="1F3763"/>
        </w:rPr>
      </w:pPr>
      <w:r>
        <w:rPr>
          <w:rStyle w:val="eop"/>
          <w:b/>
          <w:bCs/>
          <w:color w:val="000000"/>
        </w:rPr>
        <w:t>Dalsze wymagania</w:t>
      </w:r>
      <w:r>
        <w:rPr>
          <w:rStyle w:val="eop"/>
          <w:color w:val="000000"/>
        </w:rPr>
        <w:t>:</w:t>
      </w:r>
    </w:p>
    <w:p w14:paraId="09D69942" w14:textId="77777777" w:rsidR="002F290A" w:rsidRDefault="001C6795" w:rsidP="001C6795">
      <w:pPr>
        <w:pStyle w:val="paragraph"/>
        <w:numPr>
          <w:ilvl w:val="0"/>
          <w:numId w:val="9"/>
        </w:numPr>
        <w:spacing w:before="0" w:beforeAutospacing="0" w:after="0" w:afterAutospacing="0"/>
        <w:ind w:left="1080" w:firstLine="0"/>
        <w:jc w:val="both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 xml:space="preserve">Zamawiający wymaga dostarczenie dokumentacji powykonawczej obejmującej wszystkie zainstalowane urządzenia, łącza transmisji danych, elementy zasilania i inne urządzenia, również te niewyspecyfikowane </w:t>
      </w:r>
      <w:r>
        <w:rPr>
          <w:rStyle w:val="contextualspellingandgrammarerror"/>
          <w:rFonts w:eastAsiaTheme="majorEastAsia"/>
          <w:color w:val="000000"/>
        </w:rPr>
        <w:t>wprost</w:t>
      </w:r>
      <w:r>
        <w:rPr>
          <w:rStyle w:val="normaltextrun"/>
          <w:rFonts w:eastAsiaTheme="majorEastAsia"/>
          <w:color w:val="000000"/>
        </w:rPr>
        <w:t xml:space="preserve"> ale wymagane do prawidłowej pracy elementów sieci RAN zainstalowanej przez Wykonawcę oraz sporządzenia dokumentacji powykonawczej, w której zostaną opisane zainstalowane elementy systemu oraz przebiegi okablowania.</w:t>
      </w:r>
    </w:p>
    <w:p w14:paraId="08C2311A" w14:textId="77777777" w:rsidR="002F290A" w:rsidRDefault="001C6795" w:rsidP="001C6795">
      <w:pPr>
        <w:pStyle w:val="paragraph"/>
        <w:numPr>
          <w:ilvl w:val="0"/>
          <w:numId w:val="9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  <w:color w:val="000000"/>
        </w:rPr>
        <w:t xml:space="preserve"> Wszystkie przewody transmisji danych (np. </w:t>
      </w:r>
      <w:proofErr w:type="spellStart"/>
      <w:r>
        <w:rPr>
          <w:rStyle w:val="spellingerror"/>
          <w:rFonts w:eastAsiaTheme="majorEastAsia"/>
          <w:color w:val="000000"/>
        </w:rPr>
        <w:t>patchcordy</w:t>
      </w:r>
      <w:proofErr w:type="spellEnd"/>
      <w:r>
        <w:rPr>
          <w:rStyle w:val="normaltextrun"/>
          <w:rFonts w:eastAsiaTheme="majorEastAsia"/>
          <w:color w:val="000000"/>
        </w:rPr>
        <w:t xml:space="preserve"> optyczne), przewody sygnałowe (np. przewody RF między głowicą a anteną, przewody anten GNSS) oraz zasilające muszą być oznakowane w sposób odpowiedni do warunków klimatycznych (instalacja na zewnątrz budynków wymaga oznakowania odpornego na wodę, ujemne temperatury i promieniowanie ultrafioletowe), oznakowania te muszą być naniesione na dokumentację powykonawczą. </w:t>
      </w:r>
    </w:p>
    <w:p w14:paraId="1CE267CC" w14:textId="77777777" w:rsidR="002F290A" w:rsidRDefault="001C6795">
      <w:pPr>
        <w:pStyle w:val="paragraph"/>
        <w:spacing w:before="0" w:beforeAutospacing="0" w:after="0" w:afterAutospacing="0"/>
        <w:jc w:val="both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  <w:color w:val="000000"/>
        </w:rPr>
        <w:t> </w:t>
      </w:r>
    </w:p>
    <w:p w14:paraId="34B4BD2D" w14:textId="77777777" w:rsidR="002F290A" w:rsidRDefault="001C6795">
      <w:pPr>
        <w:pStyle w:val="Nagwek2"/>
        <w:rPr>
          <w:rStyle w:val="eop"/>
          <w:rFonts w:eastAsia="Times New Roman"/>
          <w:sz w:val="28"/>
          <w:szCs w:val="28"/>
        </w:rPr>
      </w:pPr>
      <w:r>
        <w:rPr>
          <w:rStyle w:val="normaltextrun"/>
          <w:b/>
          <w:bCs/>
          <w:sz w:val="28"/>
          <w:szCs w:val="28"/>
        </w:rPr>
        <w:lastRenderedPageBreak/>
        <w:t>Poznańskie Centrum Superkomputerowo-Sieciowe, Budynek Sal Technologicznych (BST) przy ul. Jana Pawła II 10 Poznań</w:t>
      </w:r>
      <w:r>
        <w:rPr>
          <w:rStyle w:val="eop"/>
          <w:sz w:val="28"/>
          <w:szCs w:val="28"/>
        </w:rPr>
        <w:t> </w:t>
      </w:r>
    </w:p>
    <w:p w14:paraId="14CA2671" w14:textId="77777777" w:rsidR="002F290A" w:rsidRDefault="001C6795">
      <w:r>
        <w:rPr>
          <w:i/>
        </w:rPr>
        <w:t xml:space="preserve">Uwaga: specyfikacje techniczne, opisy wymagań oraz miejsca instalacji elementów sieci RAN </w:t>
      </w:r>
      <w:proofErr w:type="spellStart"/>
      <w:r>
        <w:rPr>
          <w:i/>
        </w:rPr>
        <w:t>RAN</w:t>
      </w:r>
      <w:proofErr w:type="spellEnd"/>
      <w:r>
        <w:rPr>
          <w:i/>
        </w:rPr>
        <w:t xml:space="preserve"> systemu 5G dla PW oraz dla PCSS są tożsame w zakresie dotyczącym lokalizacji w PCSS BST </w:t>
      </w:r>
      <w:r>
        <w:rPr>
          <w:rStyle w:val="normaltextrun"/>
          <w:i/>
        </w:rPr>
        <w:t>ul. Jana Pawła II 10 Poznań.</w:t>
      </w:r>
    </w:p>
    <w:p w14:paraId="2A316E48" w14:textId="77777777" w:rsidR="002F290A" w:rsidRDefault="001C6795">
      <w:pPr>
        <w:pStyle w:val="Nagwek3"/>
        <w:rPr>
          <w:b/>
          <w:bCs/>
        </w:rPr>
      </w:pPr>
      <w:r>
        <w:rPr>
          <w:b/>
          <w:bCs/>
        </w:rPr>
        <w:t xml:space="preserve">Wymagania ogólne </w:t>
      </w:r>
    </w:p>
    <w:p w14:paraId="45608098" w14:textId="77777777" w:rsidR="002F290A" w:rsidRDefault="001C6795">
      <w:pPr>
        <w:pStyle w:val="paragraph"/>
        <w:spacing w:before="0" w:beforeAutospacing="0" w:after="0" w:afterAutospacing="0"/>
        <w:jc w:val="both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color w:val="000000" w:themeColor="text1"/>
        </w:rPr>
        <w:t>W ramach tej lokalizacji wymagana jest dostawa oraz instalacja elementów radiowej sieci laboratoryjnej w Serwerowni Poznańskiego Centrum Superkomputerowo-Sieciowego w Budynku Sal Technologicznych (BST) przy ul. Jana Pawła II 10 w Poznaniu. Zamawiający wymaga, aby Wykonawca zaprojektował oraz zainstalował wszystkie niezbędne elementy potrzebne do prawidłowego montażu oraz eksploatacji elementów laboratoryjnej sieci radiowej, z zachowaniem niezbędnych norm budowlanych, elektrycznych oraz elektromagnetycznych.</w:t>
      </w:r>
      <w:r>
        <w:rPr>
          <w:rStyle w:val="eop"/>
          <w:rFonts w:eastAsiaTheme="majorEastAsia"/>
        </w:rPr>
        <w:t xml:space="preserve"> </w:t>
      </w:r>
      <w:r>
        <w:rPr>
          <w:rStyle w:val="normaltextrun"/>
          <w:rFonts w:eastAsiaTheme="majorEastAsia"/>
        </w:rPr>
        <w:t>Radiowa sieć laboratoryjna musi zapewnić dwa niezależne sektory z technologią MIMO 4x4 z wykorzystaniem głowicy typu E z zastrzeżeniem dostępu do toru radiowego w celu wyprowadzenia sygnału radiowego na złącza SMA.</w:t>
      </w:r>
      <w:r>
        <w:rPr>
          <w:rStyle w:val="eop"/>
          <w:rFonts w:eastAsiaTheme="majorEastAsia"/>
        </w:rPr>
        <w:t> </w:t>
      </w:r>
    </w:p>
    <w:p w14:paraId="22322927" w14:textId="77777777" w:rsidR="002F290A" w:rsidRDefault="002F290A">
      <w:pPr>
        <w:pStyle w:val="paragraph"/>
        <w:spacing w:before="0" w:beforeAutospacing="0" w:after="0" w:afterAutospacing="0"/>
        <w:jc w:val="both"/>
        <w:rPr>
          <w:rFonts w:ascii="Segoe UI" w:hAnsi="Segoe UI" w:cs="Segoe UI"/>
          <w:sz w:val="18"/>
          <w:szCs w:val="18"/>
        </w:rPr>
      </w:pPr>
    </w:p>
    <w:p w14:paraId="79618027" w14:textId="77777777" w:rsidR="002F290A" w:rsidRDefault="002F290A">
      <w:pPr>
        <w:pStyle w:val="paragraph"/>
        <w:spacing w:before="0" w:beforeAutospacing="0" w:after="0" w:afterAutospacing="0"/>
        <w:jc w:val="both"/>
      </w:pPr>
    </w:p>
    <w:p w14:paraId="2C7E40D8" w14:textId="77777777" w:rsidR="002F290A" w:rsidRDefault="001C6795">
      <w:pPr>
        <w:pStyle w:val="paragraph"/>
        <w:spacing w:before="0" w:beforeAutospacing="0" w:after="0" w:afterAutospacing="0"/>
        <w:jc w:val="both"/>
        <w:rPr>
          <w:rStyle w:val="eop"/>
          <w:rFonts w:eastAsiaTheme="majorEastAsia"/>
        </w:rPr>
      </w:pPr>
      <w:r>
        <w:rPr>
          <w:rStyle w:val="normaltextrun"/>
          <w:rFonts w:eastAsiaTheme="majorEastAsia"/>
          <w:color w:val="000000"/>
        </w:rPr>
        <w:t>Zamawiający, w celu wykonania instalacji, zapewnia:</w:t>
      </w:r>
      <w:r>
        <w:rPr>
          <w:rStyle w:val="eop"/>
          <w:rFonts w:eastAsiaTheme="majorEastAsia"/>
          <w:color w:val="000000"/>
        </w:rPr>
        <w:t>  </w:t>
      </w:r>
    </w:p>
    <w:p w14:paraId="028A6EDF" w14:textId="77777777" w:rsidR="002F290A" w:rsidRDefault="001C6795" w:rsidP="001C6795">
      <w:pPr>
        <w:pStyle w:val="paragraph"/>
        <w:numPr>
          <w:ilvl w:val="0"/>
          <w:numId w:val="10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</w:rPr>
        <w:t>miejsce na instalację urządzeń w przeznaczonym do tego celu pomieszczeniu wyposażonym m.in. w podłogę techniczną z szachtami technicznymi na potrzeby prowadzenia okablowania pomiędzy szafami, klimatyzację, system kontroli dostępu i monitoring,</w:t>
      </w:r>
      <w:r>
        <w:rPr>
          <w:rStyle w:val="eop"/>
          <w:rFonts w:eastAsiaTheme="majorEastAsia"/>
        </w:rPr>
        <w:t> </w:t>
      </w:r>
    </w:p>
    <w:p w14:paraId="13CC10AB" w14:textId="77777777" w:rsidR="002F290A" w:rsidRDefault="001C6795" w:rsidP="001C6795">
      <w:pPr>
        <w:pStyle w:val="paragraph"/>
        <w:numPr>
          <w:ilvl w:val="0"/>
          <w:numId w:val="10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</w:rPr>
        <w:t>standardowe szafy RACK 19” o wysokości 47U w kiosku, nie więcej niż 24 U na potrzeby montażu BBU i głowic radiowych,</w:t>
      </w:r>
      <w:r>
        <w:rPr>
          <w:rStyle w:val="eop"/>
          <w:rFonts w:eastAsiaTheme="majorEastAsia"/>
        </w:rPr>
        <w:t> </w:t>
      </w:r>
    </w:p>
    <w:p w14:paraId="16A837AF" w14:textId="77777777" w:rsidR="002F290A" w:rsidRDefault="001C6795" w:rsidP="001C6795">
      <w:pPr>
        <w:pStyle w:val="paragraph"/>
        <w:numPr>
          <w:ilvl w:val="0"/>
          <w:numId w:val="10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</w:rPr>
        <w:t>każda z szaf teletechnicznych posiada wymiary:</w:t>
      </w:r>
      <w:r>
        <w:rPr>
          <w:rStyle w:val="eop"/>
          <w:rFonts w:eastAsiaTheme="majorEastAsia"/>
        </w:rPr>
        <w:t> </w:t>
      </w:r>
    </w:p>
    <w:p w14:paraId="4E6CEA99" w14:textId="77777777" w:rsidR="002F290A" w:rsidRDefault="001C6795" w:rsidP="001C6795">
      <w:pPr>
        <w:pStyle w:val="paragraph"/>
        <w:numPr>
          <w:ilvl w:val="0"/>
          <w:numId w:val="11"/>
        </w:numPr>
        <w:spacing w:before="0" w:beforeAutospacing="0" w:after="0" w:afterAutospacing="0"/>
        <w:ind w:left="1425" w:firstLine="0"/>
        <w:jc w:val="both"/>
      </w:pPr>
      <w:r>
        <w:rPr>
          <w:rStyle w:val="normaltextrun"/>
          <w:rFonts w:eastAsiaTheme="majorEastAsia"/>
        </w:rPr>
        <w:t>wysokość 47U,</w:t>
      </w:r>
      <w:r>
        <w:rPr>
          <w:rStyle w:val="eop"/>
          <w:rFonts w:eastAsiaTheme="majorEastAsia"/>
        </w:rPr>
        <w:t> </w:t>
      </w:r>
    </w:p>
    <w:p w14:paraId="4370C7FF" w14:textId="77777777" w:rsidR="002F290A" w:rsidRDefault="001C6795" w:rsidP="001C6795">
      <w:pPr>
        <w:pStyle w:val="paragraph"/>
        <w:numPr>
          <w:ilvl w:val="0"/>
          <w:numId w:val="11"/>
        </w:numPr>
        <w:spacing w:before="0" w:beforeAutospacing="0" w:after="0" w:afterAutospacing="0"/>
        <w:ind w:left="1425" w:firstLine="0"/>
        <w:jc w:val="both"/>
      </w:pPr>
      <w:r>
        <w:rPr>
          <w:rStyle w:val="normaltextrun"/>
          <w:rFonts w:eastAsiaTheme="majorEastAsia"/>
        </w:rPr>
        <w:t>szerokość 80cm,</w:t>
      </w:r>
      <w:r>
        <w:rPr>
          <w:rStyle w:val="eop"/>
          <w:rFonts w:eastAsiaTheme="majorEastAsia"/>
        </w:rPr>
        <w:t> </w:t>
      </w:r>
    </w:p>
    <w:p w14:paraId="58B5685D" w14:textId="77777777" w:rsidR="002F290A" w:rsidRDefault="001C6795" w:rsidP="001C6795">
      <w:pPr>
        <w:pStyle w:val="paragraph"/>
        <w:numPr>
          <w:ilvl w:val="0"/>
          <w:numId w:val="12"/>
        </w:numPr>
        <w:spacing w:before="0" w:beforeAutospacing="0" w:after="0" w:afterAutospacing="0"/>
        <w:ind w:left="1425" w:firstLine="0"/>
        <w:jc w:val="both"/>
      </w:pPr>
      <w:r>
        <w:rPr>
          <w:rStyle w:val="normaltextrun"/>
          <w:rFonts w:eastAsiaTheme="majorEastAsia"/>
        </w:rPr>
        <w:t>głębokość 120cm,</w:t>
      </w:r>
      <w:r>
        <w:rPr>
          <w:rStyle w:val="eop"/>
          <w:rFonts w:eastAsiaTheme="majorEastAsia"/>
        </w:rPr>
        <w:t> </w:t>
      </w:r>
    </w:p>
    <w:p w14:paraId="427192C0" w14:textId="77777777" w:rsidR="002F290A" w:rsidRDefault="001C6795" w:rsidP="001C6795">
      <w:pPr>
        <w:pStyle w:val="paragraph"/>
        <w:numPr>
          <w:ilvl w:val="0"/>
          <w:numId w:val="12"/>
        </w:numPr>
        <w:spacing w:before="0" w:beforeAutospacing="0" w:after="0" w:afterAutospacing="0"/>
        <w:ind w:left="1425" w:firstLine="0"/>
        <w:jc w:val="both"/>
      </w:pPr>
      <w:r>
        <w:rPr>
          <w:rStyle w:val="normaltextrun"/>
          <w:rFonts w:eastAsiaTheme="majorEastAsia"/>
        </w:rPr>
        <w:t>nośność szafy 1500kg,</w:t>
      </w:r>
      <w:r>
        <w:rPr>
          <w:rStyle w:val="eop"/>
          <w:rFonts w:eastAsiaTheme="majorEastAsia"/>
        </w:rPr>
        <w:t> </w:t>
      </w:r>
    </w:p>
    <w:p w14:paraId="1A1796DC" w14:textId="77777777" w:rsidR="002F290A" w:rsidRDefault="001C6795" w:rsidP="001C6795">
      <w:pPr>
        <w:pStyle w:val="paragraph"/>
        <w:numPr>
          <w:ilvl w:val="0"/>
          <w:numId w:val="12"/>
        </w:numPr>
        <w:spacing w:before="0" w:beforeAutospacing="0" w:after="0" w:afterAutospacing="0"/>
        <w:ind w:left="1425" w:firstLine="0"/>
        <w:jc w:val="both"/>
      </w:pPr>
      <w:r>
        <w:rPr>
          <w:rStyle w:val="normaltextrun"/>
          <w:rFonts w:eastAsiaTheme="majorEastAsia"/>
        </w:rPr>
        <w:t>nośność belek/profili nośnych (pionowych) 1500kg,</w:t>
      </w:r>
      <w:r>
        <w:rPr>
          <w:rStyle w:val="eop"/>
          <w:rFonts w:eastAsiaTheme="majorEastAsia"/>
        </w:rPr>
        <w:t> </w:t>
      </w:r>
    </w:p>
    <w:p w14:paraId="160337DD" w14:textId="77777777" w:rsidR="002F290A" w:rsidRDefault="001C6795" w:rsidP="001C6795">
      <w:pPr>
        <w:pStyle w:val="paragraph"/>
        <w:numPr>
          <w:ilvl w:val="0"/>
          <w:numId w:val="12"/>
        </w:numPr>
        <w:spacing w:before="0" w:beforeAutospacing="0" w:after="0" w:afterAutospacing="0"/>
        <w:ind w:left="1425" w:firstLine="0"/>
        <w:jc w:val="both"/>
      </w:pPr>
      <w:r>
        <w:rPr>
          <w:rStyle w:val="normaltextrun"/>
          <w:rFonts w:eastAsiaTheme="majorEastAsia"/>
        </w:rPr>
        <w:t>odległość między belkami umożliwiająca montaż urządzeń z uchwytami w rozstawie 19”.</w:t>
      </w:r>
      <w:r>
        <w:rPr>
          <w:rStyle w:val="eop"/>
          <w:rFonts w:eastAsiaTheme="majorEastAsia"/>
        </w:rPr>
        <w:t> </w:t>
      </w:r>
    </w:p>
    <w:p w14:paraId="1482C6C5" w14:textId="77777777" w:rsidR="002F290A" w:rsidRDefault="001C6795" w:rsidP="001C6795">
      <w:pPr>
        <w:pStyle w:val="paragraph"/>
        <w:numPr>
          <w:ilvl w:val="0"/>
          <w:numId w:val="13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</w:rPr>
        <w:t>w każdej z szaf zasilanie z dwóch niezależnych torów w postaci 2 listew zasilających PDU,</w:t>
      </w:r>
      <w:r>
        <w:rPr>
          <w:rStyle w:val="eop"/>
          <w:rFonts w:eastAsiaTheme="majorEastAsia"/>
        </w:rPr>
        <w:t> </w:t>
      </w:r>
    </w:p>
    <w:p w14:paraId="781030DB" w14:textId="77777777" w:rsidR="002F290A" w:rsidRDefault="001C6795" w:rsidP="001C6795">
      <w:pPr>
        <w:pStyle w:val="paragraph"/>
        <w:numPr>
          <w:ilvl w:val="0"/>
          <w:numId w:val="14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</w:rPr>
        <w:t>każda z listew PDU posiada:</w:t>
      </w:r>
      <w:r>
        <w:rPr>
          <w:rStyle w:val="eop"/>
          <w:rFonts w:eastAsiaTheme="majorEastAsia"/>
        </w:rPr>
        <w:t> </w:t>
      </w:r>
    </w:p>
    <w:p w14:paraId="202F31BB" w14:textId="77777777" w:rsidR="002F290A" w:rsidRDefault="001C6795" w:rsidP="001C6795">
      <w:pPr>
        <w:pStyle w:val="paragraph"/>
        <w:numPr>
          <w:ilvl w:val="0"/>
          <w:numId w:val="15"/>
        </w:numPr>
        <w:spacing w:before="0" w:beforeAutospacing="0" w:after="0" w:afterAutospacing="0"/>
        <w:ind w:left="1800" w:firstLine="0"/>
        <w:jc w:val="both"/>
      </w:pPr>
      <w:r>
        <w:rPr>
          <w:rStyle w:val="normaltextrun"/>
          <w:rFonts w:eastAsiaTheme="majorEastAsia"/>
        </w:rPr>
        <w:t>zasilanie 3 fazowe,</w:t>
      </w:r>
      <w:r>
        <w:rPr>
          <w:rStyle w:val="eop"/>
          <w:rFonts w:eastAsiaTheme="majorEastAsia"/>
        </w:rPr>
        <w:t> </w:t>
      </w:r>
    </w:p>
    <w:p w14:paraId="4D938343" w14:textId="77777777" w:rsidR="002F290A" w:rsidRDefault="001C6795" w:rsidP="001C6795">
      <w:pPr>
        <w:pStyle w:val="paragraph"/>
        <w:numPr>
          <w:ilvl w:val="0"/>
          <w:numId w:val="15"/>
        </w:numPr>
        <w:spacing w:before="0" w:beforeAutospacing="0" w:after="0" w:afterAutospacing="0"/>
        <w:ind w:left="1800" w:firstLine="0"/>
        <w:jc w:val="both"/>
      </w:pPr>
      <w:r>
        <w:rPr>
          <w:rStyle w:val="normaltextrun"/>
          <w:rFonts w:eastAsiaTheme="majorEastAsia"/>
        </w:rPr>
        <w:t>zabezpieczenie o łącznej mocy 32A na każdą szafę,</w:t>
      </w:r>
      <w:r>
        <w:rPr>
          <w:rStyle w:val="eop"/>
          <w:rFonts w:eastAsiaTheme="majorEastAsia"/>
        </w:rPr>
        <w:t> </w:t>
      </w:r>
    </w:p>
    <w:p w14:paraId="2F1F8140" w14:textId="77777777" w:rsidR="002F290A" w:rsidRDefault="001C6795" w:rsidP="001C6795">
      <w:pPr>
        <w:pStyle w:val="paragraph"/>
        <w:numPr>
          <w:ilvl w:val="0"/>
          <w:numId w:val="15"/>
        </w:numPr>
        <w:spacing w:before="0" w:beforeAutospacing="0" w:after="0" w:afterAutospacing="0"/>
        <w:ind w:left="1800" w:firstLine="0"/>
        <w:jc w:val="both"/>
      </w:pPr>
      <w:r>
        <w:rPr>
          <w:rStyle w:val="normaltextrun"/>
          <w:rFonts w:eastAsiaTheme="majorEastAsia"/>
        </w:rPr>
        <w:t>18 gniazd C13,</w:t>
      </w:r>
      <w:r>
        <w:rPr>
          <w:rStyle w:val="eop"/>
          <w:rFonts w:eastAsiaTheme="majorEastAsia"/>
        </w:rPr>
        <w:t> </w:t>
      </w:r>
    </w:p>
    <w:p w14:paraId="66AE3AE8" w14:textId="77777777" w:rsidR="002F290A" w:rsidRDefault="001C6795" w:rsidP="001C6795">
      <w:pPr>
        <w:pStyle w:val="paragraph"/>
        <w:numPr>
          <w:ilvl w:val="0"/>
          <w:numId w:val="15"/>
        </w:numPr>
        <w:spacing w:before="0" w:beforeAutospacing="0" w:after="0" w:afterAutospacing="0"/>
        <w:ind w:left="1800" w:firstLine="0"/>
        <w:jc w:val="both"/>
        <w:rPr>
          <w:rStyle w:val="eop"/>
          <w:rFonts w:eastAsiaTheme="majorEastAsia"/>
        </w:rPr>
      </w:pPr>
      <w:r>
        <w:rPr>
          <w:rStyle w:val="normaltextrun"/>
          <w:rFonts w:eastAsiaTheme="majorEastAsia"/>
        </w:rPr>
        <w:t>6 gniazd C19.</w:t>
      </w:r>
      <w:r>
        <w:rPr>
          <w:rStyle w:val="eop"/>
          <w:rFonts w:eastAsiaTheme="majorEastAsia"/>
        </w:rPr>
        <w:t> </w:t>
      </w:r>
    </w:p>
    <w:p w14:paraId="4516BB22" w14:textId="77777777" w:rsidR="002F290A" w:rsidRDefault="001C6795" w:rsidP="001C6795">
      <w:pPr>
        <w:pStyle w:val="paragraph"/>
        <w:numPr>
          <w:ilvl w:val="0"/>
          <w:numId w:val="10"/>
        </w:numPr>
        <w:spacing w:before="0" w:beforeAutospacing="0" w:after="0" w:afterAutospacing="0"/>
        <w:ind w:left="1080" w:firstLine="0"/>
        <w:jc w:val="both"/>
        <w:rPr>
          <w:rStyle w:val="normaltextrun"/>
          <w:rFonts w:eastAsiaTheme="majorEastAsia"/>
        </w:rPr>
      </w:pPr>
      <w:r>
        <w:rPr>
          <w:rStyle w:val="normaltextrun"/>
          <w:rFonts w:eastAsiaTheme="majorEastAsia"/>
        </w:rPr>
        <w:t>miejsce na dachu budynku BST do montażu anteny systemu GNSS.</w:t>
      </w:r>
    </w:p>
    <w:p w14:paraId="1415F3ED" w14:textId="77777777" w:rsidR="002F290A" w:rsidRDefault="001C6795" w:rsidP="001C6795">
      <w:pPr>
        <w:pStyle w:val="paragraph"/>
        <w:numPr>
          <w:ilvl w:val="0"/>
          <w:numId w:val="10"/>
        </w:numPr>
        <w:spacing w:before="0" w:beforeAutospacing="0" w:after="0" w:afterAutospacing="0"/>
        <w:ind w:left="1080" w:firstLine="0"/>
        <w:jc w:val="both"/>
        <w:rPr>
          <w:rStyle w:val="normaltextrun"/>
          <w:rFonts w:eastAsiaTheme="majorEastAsia"/>
        </w:rPr>
      </w:pPr>
      <w:r>
        <w:rPr>
          <w:rStyle w:val="normaltextrun"/>
          <w:rFonts w:eastAsiaTheme="majorEastAsia"/>
        </w:rPr>
        <w:t xml:space="preserve">Szafa wyznaczona przez Zamawiającego do wykonania instalacji będzie niezależna od Zadania </w:t>
      </w:r>
      <w:proofErr w:type="spellStart"/>
      <w:r>
        <w:rPr>
          <w:rStyle w:val="normaltextrun"/>
          <w:rFonts w:eastAsiaTheme="majorEastAsia"/>
        </w:rPr>
        <w:t>Core</w:t>
      </w:r>
      <w:proofErr w:type="spellEnd"/>
      <w:r>
        <w:rPr>
          <w:rStyle w:val="normaltextrun"/>
          <w:rFonts w:eastAsiaTheme="majorEastAsia"/>
        </w:rPr>
        <w:t>.</w:t>
      </w:r>
    </w:p>
    <w:p w14:paraId="293B8625" w14:textId="77777777" w:rsidR="002F290A" w:rsidRDefault="002F290A">
      <w:pPr>
        <w:pStyle w:val="paragraph"/>
        <w:spacing w:before="0" w:beforeAutospacing="0" w:after="0" w:afterAutospacing="0"/>
        <w:jc w:val="both"/>
        <w:rPr>
          <w:rFonts w:ascii="Segoe UI" w:hAnsi="Segoe UI" w:cs="Segoe UI"/>
          <w:sz w:val="18"/>
          <w:szCs w:val="18"/>
        </w:rPr>
      </w:pPr>
    </w:p>
    <w:p w14:paraId="6B95F203" w14:textId="77777777" w:rsidR="002F290A" w:rsidRDefault="002F290A">
      <w:pPr>
        <w:pStyle w:val="paragraph"/>
        <w:spacing w:before="0" w:beforeAutospacing="0" w:after="0" w:afterAutospacing="0"/>
        <w:jc w:val="both"/>
        <w:rPr>
          <w:rFonts w:ascii="Segoe UI" w:hAnsi="Segoe UI" w:cs="Segoe UI"/>
          <w:sz w:val="18"/>
          <w:szCs w:val="18"/>
        </w:rPr>
      </w:pPr>
    </w:p>
    <w:p w14:paraId="72723C3F" w14:textId="77777777" w:rsidR="002F290A" w:rsidRDefault="001C6795">
      <w:pPr>
        <w:pStyle w:val="paragraph"/>
        <w:spacing w:before="0" w:beforeAutospacing="0" w:after="0" w:afterAutospacing="0"/>
        <w:jc w:val="both"/>
        <w:rPr>
          <w:rStyle w:val="eop"/>
          <w:rFonts w:eastAsiaTheme="majorEastAsia"/>
        </w:rPr>
      </w:pPr>
      <w:r>
        <w:rPr>
          <w:rStyle w:val="normaltextrun"/>
          <w:rFonts w:eastAsiaTheme="majorEastAsia"/>
        </w:rPr>
        <w:t>Wykonawca musi zapewnić:</w:t>
      </w:r>
      <w:r>
        <w:rPr>
          <w:rStyle w:val="eop"/>
          <w:rFonts w:eastAsiaTheme="majorEastAsia"/>
        </w:rPr>
        <w:t> </w:t>
      </w:r>
    </w:p>
    <w:p w14:paraId="237E311A" w14:textId="77777777" w:rsidR="002F290A" w:rsidRDefault="002F290A">
      <w:pPr>
        <w:pStyle w:val="paragraph"/>
        <w:spacing w:before="0" w:beforeAutospacing="0" w:after="0" w:afterAutospacing="0"/>
        <w:jc w:val="both"/>
        <w:rPr>
          <w:rFonts w:ascii="Segoe UI" w:hAnsi="Segoe UI" w:cs="Segoe UI"/>
          <w:sz w:val="18"/>
          <w:szCs w:val="18"/>
        </w:rPr>
      </w:pPr>
    </w:p>
    <w:p w14:paraId="3B2E81CC" w14:textId="77777777" w:rsidR="002F290A" w:rsidRDefault="001C6795" w:rsidP="001C6795">
      <w:pPr>
        <w:pStyle w:val="paragraph"/>
        <w:numPr>
          <w:ilvl w:val="0"/>
          <w:numId w:val="30"/>
        </w:numPr>
        <w:tabs>
          <w:tab w:val="clear" w:pos="720"/>
        </w:tabs>
        <w:spacing w:before="0" w:beforeAutospacing="0" w:after="0" w:afterAutospacing="0"/>
        <w:ind w:left="1080" w:firstLine="0"/>
        <w:jc w:val="both"/>
        <w:rPr>
          <w:rStyle w:val="eop"/>
          <w:rFonts w:eastAsiaTheme="majorEastAsia"/>
        </w:rPr>
      </w:pPr>
      <w:r>
        <w:rPr>
          <w:rStyle w:val="normaltextrun"/>
          <w:rFonts w:eastAsiaTheme="majorEastAsia"/>
        </w:rPr>
        <w:t>dostawę oraz instalację jednostki BBU. Jednostka BBU musi obsłużyć sieć radiową PCSS w obrębie lokalizacji,</w:t>
      </w:r>
    </w:p>
    <w:p w14:paraId="0236304D" w14:textId="77777777" w:rsidR="002F290A" w:rsidRDefault="001C6795" w:rsidP="001C6795">
      <w:pPr>
        <w:pStyle w:val="paragraph"/>
        <w:numPr>
          <w:ilvl w:val="0"/>
          <w:numId w:val="30"/>
        </w:numPr>
        <w:tabs>
          <w:tab w:val="clear" w:pos="720"/>
        </w:tabs>
        <w:spacing w:before="0" w:beforeAutospacing="0" w:after="0" w:afterAutospacing="0"/>
        <w:ind w:left="1080" w:firstLine="0"/>
        <w:jc w:val="both"/>
      </w:pPr>
      <w:r>
        <w:rPr>
          <w:rStyle w:val="eop"/>
          <w:rFonts w:eastAsiaTheme="majorEastAsia"/>
        </w:rPr>
        <w:lastRenderedPageBreak/>
        <w:t> </w:t>
      </w:r>
      <w:r>
        <w:rPr>
          <w:rStyle w:val="normaltextrun"/>
          <w:rFonts w:eastAsiaTheme="majorEastAsia"/>
          <w:color w:val="000000"/>
          <w:highlight w:val="white"/>
        </w:rPr>
        <w:t xml:space="preserve">dostawę oraz instalację wymaganego systemu GNSS zapewniającego synchronizację w sieci 5G, w szczególności dla jednostki BBU. Zamawiający wymaga, aby </w:t>
      </w:r>
      <w:r w:rsidR="003E72E2">
        <w:rPr>
          <w:rStyle w:val="normaltextrun"/>
          <w:rFonts w:eastAsiaTheme="majorEastAsia"/>
          <w:color w:val="000000"/>
          <w:highlight w:val="white"/>
        </w:rPr>
        <w:t>Wykonawca</w:t>
      </w:r>
      <w:r>
        <w:rPr>
          <w:rStyle w:val="normaltextrun"/>
          <w:rFonts w:eastAsiaTheme="majorEastAsia"/>
          <w:color w:val="000000"/>
          <w:highlight w:val="white"/>
        </w:rPr>
        <w:t xml:space="preserve"> w ramach instalacji zapewnił:</w:t>
      </w:r>
    </w:p>
    <w:p w14:paraId="73E7AE7F" w14:textId="77777777" w:rsidR="002F290A" w:rsidRDefault="001C6795" w:rsidP="001C6795">
      <w:pPr>
        <w:pStyle w:val="paragraph"/>
        <w:numPr>
          <w:ilvl w:val="1"/>
          <w:numId w:val="30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  <w:color w:val="000000"/>
          <w:highlight w:val="white"/>
        </w:rPr>
        <w:t xml:space="preserve"> co najmniej 7 dodatkowych wyjść sygnału GNSS (złącza SMA lub N) lub</w:t>
      </w:r>
    </w:p>
    <w:p w14:paraId="1A1E24A5" w14:textId="77777777" w:rsidR="002F290A" w:rsidRDefault="001C6795" w:rsidP="001C6795">
      <w:pPr>
        <w:pStyle w:val="paragraph"/>
        <w:numPr>
          <w:ilvl w:val="1"/>
          <w:numId w:val="30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  <w:color w:val="000000"/>
          <w:highlight w:val="white"/>
        </w:rPr>
        <w:t xml:space="preserve"> co najmniej 4 porty zapewniające wsparcie dla profili ITU-T G.8275.1 i G.8275.2 (złącza RJ-45 i/lub SFP).</w:t>
      </w:r>
    </w:p>
    <w:p w14:paraId="117084B8" w14:textId="77777777" w:rsidR="002F290A" w:rsidRDefault="001C6795">
      <w:pPr>
        <w:pStyle w:val="paragraph"/>
        <w:spacing w:before="0" w:beforeAutospacing="0" w:after="0" w:afterAutospacing="0"/>
        <w:ind w:left="1080"/>
        <w:jc w:val="both"/>
      </w:pPr>
      <w:r>
        <w:rPr>
          <w:rStyle w:val="normaltextrun"/>
          <w:rFonts w:eastAsiaTheme="majorEastAsia"/>
          <w:color w:val="000000"/>
          <w:highlight w:val="white"/>
        </w:rPr>
        <w:t xml:space="preserve"> W tym celu Wykonawca musi skorzystać z istniejących przepustów instalacyjnych lub w razie potrzeby wykonać nowy przepust. Zamawiający wymaga, aby Wykonawca skorzystał z istniejących tras/drabinek kablowych w relacji Serwerownia-dach BST. Wykonana instalacja musi być zgodna z technologią oraz zapewniać odpowiednią szczelność. Miejsce instalacji oraz przebieg trasy wymaganego okablowania należy uzgodnić z Zamawiającym oraz uzyskać jego akceptację. </w:t>
      </w:r>
    </w:p>
    <w:p w14:paraId="24A031DB" w14:textId="77777777" w:rsidR="002F290A" w:rsidRDefault="001C6795" w:rsidP="001C6795">
      <w:pPr>
        <w:pStyle w:val="paragraph"/>
        <w:numPr>
          <w:ilvl w:val="0"/>
          <w:numId w:val="24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  <w:highlight w:val="white"/>
        </w:rPr>
        <w:t>połączenie pomiędzy siecią RAN a rdzeniem sieci 5G znajdującym się w tej samej lokalizacji (ta sama sala w pomieszczeniu Serwerowni).</w:t>
      </w:r>
      <w:r>
        <w:rPr>
          <w:rStyle w:val="eop"/>
          <w:rFonts w:eastAsiaTheme="majorEastAsia"/>
          <w:highlight w:val="white"/>
        </w:rPr>
        <w:t> </w:t>
      </w:r>
    </w:p>
    <w:p w14:paraId="30A55C13" w14:textId="77777777" w:rsidR="002F290A" w:rsidRDefault="001C6795" w:rsidP="001C6795">
      <w:pPr>
        <w:pStyle w:val="paragraph"/>
        <w:numPr>
          <w:ilvl w:val="0"/>
          <w:numId w:val="24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  <w:highlight w:val="white"/>
        </w:rPr>
        <w:t>dostawę oraz instalację wymaganej siłowni prądu stałego (o ile instalacja tego wymaga) zapewniającej prawidłową pracę sieci RAN. Wykonawca musi dostarczyć siłownię zapewniającą pobór mocy nie większy niż 6kW.</w:t>
      </w:r>
    </w:p>
    <w:p w14:paraId="52CA239C" w14:textId="77777777" w:rsidR="002F290A" w:rsidRDefault="001C6795" w:rsidP="001C6795">
      <w:pPr>
        <w:pStyle w:val="paragraph"/>
        <w:numPr>
          <w:ilvl w:val="0"/>
          <w:numId w:val="25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  <w:highlight w:val="white"/>
        </w:rPr>
        <w:t>dostarczenie oraz instalację głowic typu E z zapewnionym dostępem do toru radiowego </w:t>
      </w:r>
      <w:r>
        <w:rPr>
          <w:rStyle w:val="eop"/>
          <w:rFonts w:eastAsiaTheme="majorEastAsia"/>
          <w:highlight w:val="white"/>
        </w:rPr>
        <w:t>z punktu 1.3..</w:t>
      </w:r>
    </w:p>
    <w:p w14:paraId="2FC5084A" w14:textId="77777777" w:rsidR="002F290A" w:rsidRDefault="001C6795" w:rsidP="001C6795">
      <w:pPr>
        <w:pStyle w:val="paragraph"/>
        <w:numPr>
          <w:ilvl w:val="0"/>
          <w:numId w:val="26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  <w:highlight w:val="white"/>
        </w:rPr>
        <w:t>dostarczenie oraz instalację niezbędnych elementów umożliwiających montaż głowic radiowych w szafach RACK 19” w pozycji pionowej. </w:t>
      </w:r>
      <w:r>
        <w:rPr>
          <w:rStyle w:val="eop"/>
          <w:rFonts w:eastAsiaTheme="majorEastAsia"/>
          <w:highlight w:val="white"/>
        </w:rPr>
        <w:t> </w:t>
      </w:r>
    </w:p>
    <w:p w14:paraId="34DBD8F3" w14:textId="77777777" w:rsidR="002F290A" w:rsidRDefault="001C6795" w:rsidP="001C6795">
      <w:pPr>
        <w:pStyle w:val="paragraph"/>
        <w:numPr>
          <w:ilvl w:val="0"/>
          <w:numId w:val="26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  <w:highlight w:val="white"/>
        </w:rPr>
        <w:t>dostarczenie oraz ułożenie niezbędnego okablowania do zasilenia modułów radiowych wraz z połączeniami światłowodowymi. Przebieg okablowania należy uzgodnić z Zamawiającym.</w:t>
      </w:r>
      <w:r>
        <w:rPr>
          <w:rStyle w:val="eop"/>
          <w:rFonts w:eastAsiaTheme="majorEastAsia"/>
          <w:highlight w:val="white"/>
        </w:rPr>
        <w:t> </w:t>
      </w:r>
    </w:p>
    <w:p w14:paraId="3F4C88CD" w14:textId="77777777" w:rsidR="002F290A" w:rsidRDefault="002F290A" w:rsidP="009F1CA3">
      <w:pPr>
        <w:pStyle w:val="paragraph"/>
        <w:spacing w:before="0" w:beforeAutospacing="0" w:after="0" w:afterAutospacing="0"/>
        <w:jc w:val="both"/>
      </w:pPr>
    </w:p>
    <w:p w14:paraId="1B8532D8" w14:textId="11854C3C" w:rsidR="002F290A" w:rsidRDefault="001C6795" w:rsidP="009F1CA3">
      <w:pPr>
        <w:pStyle w:val="Nagwek3"/>
      </w:pPr>
      <w:r>
        <w:rPr>
          <w:b/>
          <w:bCs/>
          <w:highlight w:val="white"/>
        </w:rPr>
        <w:t>Dalsze wymagania</w:t>
      </w:r>
      <w:r>
        <w:rPr>
          <w:rStyle w:val="normaltextrun"/>
          <w:b/>
          <w:bCs/>
          <w:highlight w:val="white"/>
        </w:rPr>
        <w:t>:</w:t>
      </w:r>
      <w:r>
        <w:rPr>
          <w:rStyle w:val="eop"/>
          <w:b/>
          <w:bCs/>
          <w:highlight w:val="white"/>
        </w:rPr>
        <w:t> </w:t>
      </w:r>
    </w:p>
    <w:p w14:paraId="5FFC3D24" w14:textId="0BCBB730" w:rsidR="002F290A" w:rsidRDefault="001C6795" w:rsidP="001C6795">
      <w:pPr>
        <w:pStyle w:val="paragraph"/>
        <w:numPr>
          <w:ilvl w:val="0"/>
          <w:numId w:val="27"/>
        </w:numPr>
        <w:tabs>
          <w:tab w:val="clear" w:pos="720"/>
        </w:tabs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  <w:highlight w:val="white"/>
        </w:rPr>
        <w:t xml:space="preserve">Zamawiający wymaga, aby demonstracja działania sieci RAN odbyła się z wykorzystaniem komór typu </w:t>
      </w:r>
      <w:proofErr w:type="spellStart"/>
      <w:r>
        <w:rPr>
          <w:rStyle w:val="spellingerror"/>
          <w:rFonts w:eastAsiaTheme="majorEastAsia"/>
          <w:highlight w:val="white"/>
        </w:rPr>
        <w:t>shieldbox</w:t>
      </w:r>
      <w:proofErr w:type="spellEnd"/>
      <w:r>
        <w:rPr>
          <w:rStyle w:val="normaltextrun"/>
          <w:rFonts w:eastAsiaTheme="majorEastAsia"/>
          <w:highlight w:val="white"/>
        </w:rPr>
        <w:t xml:space="preserve"> zapewniających izolację sygnału radiowego. </w:t>
      </w:r>
      <w:r w:rsidR="009F1CA3">
        <w:rPr>
          <w:rStyle w:val="normaltextrun"/>
          <w:rFonts w:eastAsiaTheme="majorEastAsia"/>
          <w:highlight w:val="white"/>
        </w:rPr>
        <w:t>Wykonawca</w:t>
      </w:r>
      <w:r>
        <w:rPr>
          <w:rStyle w:val="normaltextrun"/>
          <w:rFonts w:eastAsiaTheme="majorEastAsia"/>
          <w:highlight w:val="white"/>
        </w:rPr>
        <w:t xml:space="preserve"> będzie korzystał z komór udostępnianych przez Zamawiającego. </w:t>
      </w:r>
    </w:p>
    <w:p w14:paraId="6AC28284" w14:textId="77777777" w:rsidR="002F290A" w:rsidRDefault="001C6795" w:rsidP="001C6795">
      <w:pPr>
        <w:pStyle w:val="paragraph"/>
        <w:numPr>
          <w:ilvl w:val="0"/>
          <w:numId w:val="28"/>
        </w:numPr>
        <w:spacing w:before="0" w:beforeAutospacing="0" w:after="0" w:afterAutospacing="0"/>
        <w:ind w:left="1800" w:firstLine="0"/>
        <w:jc w:val="both"/>
      </w:pPr>
      <w:r>
        <w:rPr>
          <w:rStyle w:val="normaltextrun"/>
          <w:rFonts w:eastAsiaTheme="majorEastAsia"/>
          <w:highlight w:val="white"/>
        </w:rPr>
        <w:t>Zakres prezentacji działania systemu został zdefiniowany w rozdziale 8. dokumentu „Specyfikacja sieci międzyregionalnej”.</w:t>
      </w:r>
    </w:p>
    <w:p w14:paraId="4315E622" w14:textId="77777777" w:rsidR="002F290A" w:rsidRDefault="001C6795" w:rsidP="001C6795">
      <w:pPr>
        <w:pStyle w:val="paragraph"/>
        <w:numPr>
          <w:ilvl w:val="0"/>
          <w:numId w:val="29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  <w:highlight w:val="white"/>
        </w:rPr>
        <w:t xml:space="preserve">Wszystkie dostarczone elementy muszą zostać zainstalowane w szafach RACK 19” (z wyłączeniem </w:t>
      </w:r>
      <w:r>
        <w:rPr>
          <w:color w:val="000000"/>
          <w:highlight w:val="white"/>
        </w:rPr>
        <w:t xml:space="preserve">anteny systemu GNSS oraz elementów służących do podłączania tej anteny) </w:t>
      </w:r>
      <w:r>
        <w:rPr>
          <w:rStyle w:val="normaltextrun"/>
          <w:rFonts w:eastAsiaTheme="majorEastAsia"/>
          <w:highlight w:val="white"/>
        </w:rPr>
        <w:t>.</w:t>
      </w:r>
      <w:r>
        <w:rPr>
          <w:rStyle w:val="eop"/>
          <w:rFonts w:eastAsiaTheme="majorEastAsia"/>
          <w:highlight w:val="white"/>
        </w:rPr>
        <w:t> </w:t>
      </w:r>
    </w:p>
    <w:p w14:paraId="3A2A7A92" w14:textId="77777777" w:rsidR="002F290A" w:rsidRDefault="001C6795" w:rsidP="001C6795">
      <w:pPr>
        <w:pStyle w:val="paragraph"/>
        <w:numPr>
          <w:ilvl w:val="0"/>
          <w:numId w:val="31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  <w:color w:val="000000"/>
          <w:highlight w:val="white"/>
        </w:rPr>
        <w:t xml:space="preserve">Zamawiający wymaga dostarczenie dokumentacji powykonawczej obejmującej wszystkie zainstalowane urządzenia, łącza transmisji danych, elementy zasilania i inne urządzenia, również te niewyspecyfikowane </w:t>
      </w:r>
      <w:r>
        <w:rPr>
          <w:rStyle w:val="contextualspellingandgrammarerror"/>
          <w:rFonts w:eastAsiaTheme="majorEastAsia"/>
          <w:color w:val="000000"/>
          <w:highlight w:val="white"/>
        </w:rPr>
        <w:t>wprost</w:t>
      </w:r>
      <w:r>
        <w:rPr>
          <w:rStyle w:val="normaltextrun"/>
          <w:rFonts w:eastAsiaTheme="majorEastAsia"/>
          <w:color w:val="000000"/>
          <w:highlight w:val="white"/>
        </w:rPr>
        <w:t xml:space="preserve"> ale wymagane do prawidłowej pracy elementów sieci RAN zainstalowanej przez Wykonawcę oraz sporządzenia dokumentacji powykonawczej, na której zostaną opisane zainstalowane elementy systemu oraz przebiegi okablowania. </w:t>
      </w:r>
      <w:r>
        <w:rPr>
          <w:rStyle w:val="eop"/>
          <w:rFonts w:eastAsiaTheme="majorEastAsia"/>
          <w:color w:val="000000"/>
          <w:highlight w:val="white"/>
        </w:rPr>
        <w:t> </w:t>
      </w:r>
    </w:p>
    <w:p w14:paraId="0AAD132D" w14:textId="77777777" w:rsidR="002F290A" w:rsidRDefault="001C6795" w:rsidP="001C6795">
      <w:pPr>
        <w:pStyle w:val="paragraph"/>
        <w:numPr>
          <w:ilvl w:val="0"/>
          <w:numId w:val="16"/>
        </w:numPr>
        <w:spacing w:before="0" w:beforeAutospacing="0" w:after="0" w:afterAutospacing="0"/>
        <w:ind w:left="1080" w:firstLine="0"/>
        <w:jc w:val="both"/>
        <w:rPr>
          <w:rStyle w:val="normaltextrun"/>
        </w:rPr>
      </w:pPr>
      <w:r>
        <w:rPr>
          <w:rStyle w:val="normaltextrun"/>
          <w:rFonts w:eastAsiaTheme="majorEastAsia"/>
          <w:color w:val="000000"/>
          <w:highlight w:val="white"/>
        </w:rPr>
        <w:t xml:space="preserve"> Wszystkie przewody transmisji danych (np. </w:t>
      </w:r>
      <w:proofErr w:type="spellStart"/>
      <w:r>
        <w:rPr>
          <w:rStyle w:val="spellingerror"/>
          <w:rFonts w:eastAsiaTheme="majorEastAsia"/>
          <w:color w:val="000000"/>
          <w:highlight w:val="white"/>
        </w:rPr>
        <w:t>patchcordy</w:t>
      </w:r>
      <w:proofErr w:type="spellEnd"/>
      <w:r>
        <w:rPr>
          <w:rStyle w:val="normaltextrun"/>
          <w:rFonts w:eastAsiaTheme="majorEastAsia"/>
          <w:color w:val="000000"/>
          <w:highlight w:val="white"/>
        </w:rPr>
        <w:t xml:space="preserve"> optyczne), przewody sygnałowe (np. przewody RF między głowicą a anteną, przewody anten GNSS) oraz zasilające muszą być oznakowane w sposób odpowiedni do warunków klimatycznych (instalacja na zewnątrz budynków wymaga oznakowania odpornego na wodę, ujemne temperatury i promieniowanie ultrafioletowe), oznakowania te muszą być naniesione na dokumentację powykonawczą. </w:t>
      </w:r>
    </w:p>
    <w:sectPr w:rsidR="002F290A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D1564" w14:textId="77777777" w:rsidR="001C6795" w:rsidRDefault="001C6795">
      <w:pPr>
        <w:spacing w:after="0" w:line="240" w:lineRule="auto"/>
      </w:pPr>
      <w:r>
        <w:separator/>
      </w:r>
    </w:p>
  </w:endnote>
  <w:endnote w:type="continuationSeparator" w:id="0">
    <w:p w14:paraId="3A73792D" w14:textId="77777777" w:rsidR="001C6795" w:rsidRDefault="001C6795">
      <w:pPr>
        <w:spacing w:after="0" w:line="240" w:lineRule="auto"/>
      </w:pPr>
      <w:r>
        <w:continuationSeparator/>
      </w:r>
    </w:p>
  </w:endnote>
  <w:endnote w:type="continuationNotice" w:id="1">
    <w:p w14:paraId="46AA11A2" w14:textId="77777777" w:rsidR="001C6795" w:rsidRDefault="001C679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79351465"/>
      <w:docPartObj>
        <w:docPartGallery w:val="Page Numbers (Bottom of Page)"/>
        <w:docPartUnique/>
      </w:docPartObj>
    </w:sdtPr>
    <w:sdtEndPr/>
    <w:sdtContent>
      <w:p w14:paraId="43216611" w14:textId="77777777" w:rsidR="009D4F02" w:rsidRDefault="009D4F0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35575CF" w14:textId="77777777" w:rsidR="009D4F02" w:rsidRDefault="009D4F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97A6D" w14:textId="77777777" w:rsidR="001C6795" w:rsidRDefault="001C6795">
      <w:pPr>
        <w:spacing w:after="0" w:line="240" w:lineRule="auto"/>
      </w:pPr>
      <w:r>
        <w:separator/>
      </w:r>
    </w:p>
  </w:footnote>
  <w:footnote w:type="continuationSeparator" w:id="0">
    <w:p w14:paraId="2CCFF6D8" w14:textId="77777777" w:rsidR="001C6795" w:rsidRDefault="001C6795">
      <w:pPr>
        <w:spacing w:after="0" w:line="240" w:lineRule="auto"/>
      </w:pPr>
      <w:r>
        <w:continuationSeparator/>
      </w:r>
    </w:p>
  </w:footnote>
  <w:footnote w:type="continuationNotice" w:id="1">
    <w:p w14:paraId="70328399" w14:textId="77777777" w:rsidR="001C6795" w:rsidRDefault="001C679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1BDD5" w14:textId="77777777" w:rsidR="009D4F02" w:rsidRDefault="003E72E2" w:rsidP="003E72E2">
    <w:pPr>
      <w:pStyle w:val="Nagwek"/>
      <w:jc w:val="right"/>
    </w:pPr>
    <w:r>
      <w:t>Załącznik 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D39E6"/>
    <w:multiLevelType w:val="hybridMultilevel"/>
    <w:tmpl w:val="EC70380A"/>
    <w:lvl w:ilvl="0" w:tplc="63820A4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23AEB6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0C605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4A1EB62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8FE849E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532AD92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851274A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BBAAFFB4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430444C0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9444BD"/>
    <w:multiLevelType w:val="hybridMultilevel"/>
    <w:tmpl w:val="81FE55C6"/>
    <w:lvl w:ilvl="0" w:tplc="FB3A7C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A4495E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C56694B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A86495C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407AF95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DAD81564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E506925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98C68E3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FBA8EB70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C06E66"/>
    <w:multiLevelType w:val="hybridMultilevel"/>
    <w:tmpl w:val="12581BA8"/>
    <w:lvl w:ilvl="0" w:tplc="6150CE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F7C40E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1304DF3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A62677F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93F813E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AC2810C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2E0E166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2402CFB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9F0AD85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23B1367"/>
    <w:multiLevelType w:val="hybridMultilevel"/>
    <w:tmpl w:val="242880B8"/>
    <w:lvl w:ilvl="0" w:tplc="B1D49B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0721D0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544A004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054C960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F9C6D14E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49024474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ABCADCD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09765528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6F185F0E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3794908"/>
    <w:multiLevelType w:val="hybridMultilevel"/>
    <w:tmpl w:val="0DE0B388"/>
    <w:lvl w:ilvl="0" w:tplc="F650FB4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plc="305C842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E9C899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plc="0792F10C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plc="2196E8E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plc="ED0ECA10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plc="3FB2080C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plc="23528C6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plc="19985ABC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14F94F88"/>
    <w:multiLevelType w:val="hybridMultilevel"/>
    <w:tmpl w:val="9078D15A"/>
    <w:lvl w:ilvl="0" w:tplc="22CC42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6307B3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6E60C07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E5C65BF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59663112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DFCC405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C64A93B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A5AA1372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77BAB124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D102471"/>
    <w:multiLevelType w:val="hybridMultilevel"/>
    <w:tmpl w:val="7AA69B1C"/>
    <w:lvl w:ilvl="0" w:tplc="F7D668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B5878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CD12E81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F4AE430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9C2856C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C3AC248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D264E17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60865BC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118A576C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EDC1289"/>
    <w:multiLevelType w:val="hybridMultilevel"/>
    <w:tmpl w:val="6EECD44C"/>
    <w:lvl w:ilvl="0" w:tplc="203E57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22E6C6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14C0570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9D9849C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F074166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7AE2C9CC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17D2220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DA440628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6B72536A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39D79B5"/>
    <w:multiLevelType w:val="hybridMultilevel"/>
    <w:tmpl w:val="E812B75C"/>
    <w:lvl w:ilvl="0" w:tplc="DA3CA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98A022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F7BCA8F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7D3848C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025A8DA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3E500AA4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82E2A92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0B9CA9D2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85C8D6DE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7F52228"/>
    <w:multiLevelType w:val="hybridMultilevel"/>
    <w:tmpl w:val="197649C8"/>
    <w:lvl w:ilvl="0" w:tplc="CA8AC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326C9B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2B769C0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374E302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9F9E0E8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996C57EA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21E0FAA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1712909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650CEF9A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A5535AB"/>
    <w:multiLevelType w:val="hybridMultilevel"/>
    <w:tmpl w:val="223004F4"/>
    <w:lvl w:ilvl="0" w:tplc="776017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314323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BBF2C52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7F82078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21FE95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2996E05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FA9A677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1C2040A4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4E20A94E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F297175"/>
    <w:multiLevelType w:val="hybridMultilevel"/>
    <w:tmpl w:val="ED043C42"/>
    <w:lvl w:ilvl="0" w:tplc="3AEE108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plc="39C0F1F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DB80CF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plc="563CB1FA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plc="511621F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plc="597A03D8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plc="B9966848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plc="EDA4456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plc="803AC9CE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2F3C3CAC"/>
    <w:multiLevelType w:val="hybridMultilevel"/>
    <w:tmpl w:val="A468AAC6"/>
    <w:lvl w:ilvl="0" w:tplc="F184DF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B7A7A7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8DB0453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F49EEEA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5F221002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6D966D5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5094C97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770478A8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2C5AEC70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1636029"/>
    <w:multiLevelType w:val="hybridMultilevel"/>
    <w:tmpl w:val="B1CECB6E"/>
    <w:lvl w:ilvl="0" w:tplc="DAB26A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642F59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8574140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BB5ADBB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5F12C5A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C2AA67D0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0D9A3D4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85ACBDF4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DC0429C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6312283"/>
    <w:multiLevelType w:val="hybridMultilevel"/>
    <w:tmpl w:val="72744210"/>
    <w:lvl w:ilvl="0" w:tplc="D6529E6A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plc="B52852C2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  <w:sz w:val="20"/>
      </w:rPr>
    </w:lvl>
    <w:lvl w:ilvl="2" w:tplc="420AC734">
      <w:start w:val="1"/>
      <w:numFmt w:val="bullet"/>
      <w:lvlText w:val="o"/>
      <w:lvlJc w:val="left"/>
      <w:pPr>
        <w:tabs>
          <w:tab w:val="num" w:pos="2868"/>
        </w:tabs>
        <w:ind w:left="2868" w:hanging="360"/>
      </w:pPr>
      <w:rPr>
        <w:rFonts w:ascii="Courier New" w:hAnsi="Courier New" w:cs="Courier New" w:hint="default"/>
        <w:sz w:val="20"/>
      </w:rPr>
    </w:lvl>
    <w:lvl w:ilvl="3" w:tplc="B8682328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  <w:sz w:val="20"/>
      </w:rPr>
    </w:lvl>
    <w:lvl w:ilvl="4" w:tplc="1AA46152">
      <w:start w:val="1"/>
      <w:numFmt w:val="bullet"/>
      <w:lvlText w:val="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  <w:sz w:val="20"/>
      </w:rPr>
    </w:lvl>
    <w:lvl w:ilvl="5" w:tplc="F2C2A052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  <w:sz w:val="20"/>
      </w:rPr>
    </w:lvl>
    <w:lvl w:ilvl="6" w:tplc="0BC867B0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  <w:sz w:val="20"/>
      </w:rPr>
    </w:lvl>
    <w:lvl w:ilvl="7" w:tplc="3F82E6F8">
      <w:start w:val="1"/>
      <w:numFmt w:val="bullet"/>
      <w:lvlText w:val=""/>
      <w:lvlJc w:val="left"/>
      <w:pPr>
        <w:tabs>
          <w:tab w:val="num" w:pos="6468"/>
        </w:tabs>
        <w:ind w:left="6468" w:hanging="360"/>
      </w:pPr>
      <w:rPr>
        <w:rFonts w:ascii="Symbol" w:hAnsi="Symbol" w:hint="default"/>
        <w:sz w:val="20"/>
      </w:rPr>
    </w:lvl>
    <w:lvl w:ilvl="8" w:tplc="36B62F8E">
      <w:start w:val="1"/>
      <w:numFmt w:val="bullet"/>
      <w:lvlText w:val=""/>
      <w:lvlJc w:val="left"/>
      <w:pPr>
        <w:tabs>
          <w:tab w:val="num" w:pos="7188"/>
        </w:tabs>
        <w:ind w:left="7188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64B15E0"/>
    <w:multiLevelType w:val="hybridMultilevel"/>
    <w:tmpl w:val="F1EA5726"/>
    <w:lvl w:ilvl="0" w:tplc="C0249D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73A49D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CA44208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61F4438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55B6903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1CA8CE02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D6B6B4A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128E1AF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3898895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D5703DF"/>
    <w:multiLevelType w:val="hybridMultilevel"/>
    <w:tmpl w:val="50FE7D74"/>
    <w:lvl w:ilvl="0" w:tplc="4404CB1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plc="98127C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2D44A0C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plc="1B2256F8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plc="DBDAC2A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plc="4042AC7A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plc="59F2F6A0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plc="EC5AE78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plc="BD74B40E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 w15:restartNumberingAfterBreak="0">
    <w:nsid w:val="46347FE3"/>
    <w:multiLevelType w:val="hybridMultilevel"/>
    <w:tmpl w:val="0568D888"/>
    <w:lvl w:ilvl="0" w:tplc="9CC6FE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06C00B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C1DA511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3B54551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D55E24A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F73A1F0A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2C74D6B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AF7A7798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8CC84F80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7CE70FD"/>
    <w:multiLevelType w:val="hybridMultilevel"/>
    <w:tmpl w:val="EB58522C"/>
    <w:lvl w:ilvl="0" w:tplc="B2FAA7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4423CA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B2A84CDC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00B2FAD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775C674E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9160942C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ECD8A3B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BE2C390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EAC4E83C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8983B96"/>
    <w:multiLevelType w:val="hybridMultilevel"/>
    <w:tmpl w:val="76E6DE40"/>
    <w:lvl w:ilvl="0" w:tplc="B9848E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362696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438EF02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0F4AE13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4550750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113CA50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AB542E5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6AA2425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3BD2565C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B943DFD"/>
    <w:multiLevelType w:val="hybridMultilevel"/>
    <w:tmpl w:val="CAC22880"/>
    <w:lvl w:ilvl="0" w:tplc="2CA0757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plc="E072314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ACA00D0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plc="8062D3BC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plc="6B22749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plc="85E629C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plc="9B3E05B0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plc="951854A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plc="68B8B74A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1" w15:restartNumberingAfterBreak="0">
    <w:nsid w:val="4C813FAF"/>
    <w:multiLevelType w:val="hybridMultilevel"/>
    <w:tmpl w:val="A2AC3D64"/>
    <w:lvl w:ilvl="0" w:tplc="A25051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9982BA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3AEE146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422292E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C12E7B5A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8D300C7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A44EEB3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F9E2069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8C203A9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F3F6FE4"/>
    <w:multiLevelType w:val="hybridMultilevel"/>
    <w:tmpl w:val="BFFE1214"/>
    <w:lvl w:ilvl="0" w:tplc="0EECE5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D2EEE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A4446A7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B19078B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06A8D35E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3926ED9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4BAA37B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DB026F74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5742E384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97647BB"/>
    <w:multiLevelType w:val="multilevel"/>
    <w:tmpl w:val="95E4CDDE"/>
    <w:lvl w:ilvl="0">
      <w:start w:val="1"/>
      <w:numFmt w:val="decimal"/>
      <w:pStyle w:val="Nagwek1"/>
      <w:lvlText w:val="%1."/>
      <w:lvlJc w:val="left"/>
      <w:pPr>
        <w:ind w:left="432" w:hanging="432"/>
      </w:pPr>
      <w:rPr>
        <w:rFonts w:hint="default"/>
        <w:b/>
        <w:sz w:val="32"/>
      </w:rPr>
    </w:lvl>
    <w:lvl w:ilvl="1">
      <w:start w:val="1"/>
      <w:numFmt w:val="decimal"/>
      <w:pStyle w:val="Nagwek2"/>
      <w:lvlText w:val="%1.%2."/>
      <w:lvlJc w:val="left"/>
      <w:pPr>
        <w:ind w:left="576" w:hanging="576"/>
      </w:pPr>
      <w:rPr>
        <w:rFonts w:hint="default"/>
        <w:b/>
        <w:sz w:val="28"/>
      </w:rPr>
    </w:lvl>
    <w:lvl w:ilvl="2">
      <w:start w:val="1"/>
      <w:numFmt w:val="decimal"/>
      <w:pStyle w:val="Nagwek3"/>
      <w:lvlText w:val="%1.%2.%3."/>
      <w:lvlJc w:val="left"/>
      <w:pPr>
        <w:ind w:left="720" w:hanging="720"/>
      </w:pPr>
      <w:rPr>
        <w:rFonts w:ascii="Times" w:eastAsia="Times" w:hAnsi="Times" w:cs="Times" w:hint="default"/>
        <w:b/>
        <w:color w:val="000000" w:themeColor="text1"/>
      </w:rPr>
    </w:lvl>
    <w:lvl w:ilvl="3">
      <w:start w:val="1"/>
      <w:numFmt w:val="decimal"/>
      <w:pStyle w:val="Nagwek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.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4" w15:restartNumberingAfterBreak="0">
    <w:nsid w:val="5A485737"/>
    <w:multiLevelType w:val="hybridMultilevel"/>
    <w:tmpl w:val="2FD0C83E"/>
    <w:lvl w:ilvl="0" w:tplc="7A743C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A1ED61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31BED70E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  <w:sz w:val="20"/>
      </w:rPr>
    </w:lvl>
    <w:lvl w:ilvl="3" w:tplc="C7DA843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657469D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8A9279B4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7AAA2BF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9D6496A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B49680AA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B982587"/>
    <w:multiLevelType w:val="hybridMultilevel"/>
    <w:tmpl w:val="D1486902"/>
    <w:lvl w:ilvl="0" w:tplc="F3189E48">
      <w:start w:val="1"/>
      <w:numFmt w:val="bullet"/>
      <w:lvlText w:val=""/>
      <w:lvlJc w:val="left"/>
      <w:pPr>
        <w:tabs>
          <w:tab w:val="num" w:pos="-768"/>
        </w:tabs>
        <w:ind w:left="-768" w:hanging="360"/>
      </w:pPr>
      <w:rPr>
        <w:rFonts w:ascii="Symbol" w:hAnsi="Symbol" w:hint="default"/>
        <w:sz w:val="20"/>
      </w:rPr>
    </w:lvl>
    <w:lvl w:ilvl="1" w:tplc="B720D96E">
      <w:start w:val="1"/>
      <w:numFmt w:val="bullet"/>
      <w:lvlText w:val=""/>
      <w:lvlJc w:val="left"/>
      <w:pPr>
        <w:tabs>
          <w:tab w:val="num" w:pos="-48"/>
        </w:tabs>
        <w:ind w:left="-48" w:hanging="360"/>
      </w:pPr>
      <w:rPr>
        <w:rFonts w:ascii="Symbol" w:hAnsi="Symbol" w:hint="default"/>
        <w:sz w:val="20"/>
      </w:rPr>
    </w:lvl>
    <w:lvl w:ilvl="2" w:tplc="E6F24EA0">
      <w:start w:val="1"/>
      <w:numFmt w:val="bullet"/>
      <w:lvlText w:val=""/>
      <w:lvlJc w:val="left"/>
      <w:pPr>
        <w:tabs>
          <w:tab w:val="num" w:pos="672"/>
        </w:tabs>
        <w:ind w:left="672" w:hanging="360"/>
      </w:pPr>
      <w:rPr>
        <w:rFonts w:ascii="Symbol" w:hAnsi="Symbol" w:hint="default"/>
        <w:sz w:val="20"/>
      </w:rPr>
    </w:lvl>
    <w:lvl w:ilvl="3" w:tplc="DD3ABEE2">
      <w:start w:val="1"/>
      <w:numFmt w:val="bullet"/>
      <w:lvlText w:val=""/>
      <w:lvlJc w:val="left"/>
      <w:pPr>
        <w:tabs>
          <w:tab w:val="num" w:pos="1392"/>
        </w:tabs>
        <w:ind w:left="1392" w:hanging="360"/>
      </w:pPr>
      <w:rPr>
        <w:rFonts w:ascii="Symbol" w:hAnsi="Symbol" w:hint="default"/>
        <w:sz w:val="20"/>
      </w:rPr>
    </w:lvl>
    <w:lvl w:ilvl="4" w:tplc="648256A2">
      <w:start w:val="1"/>
      <w:numFmt w:val="bullet"/>
      <w:lvlText w:val=""/>
      <w:lvlJc w:val="left"/>
      <w:pPr>
        <w:tabs>
          <w:tab w:val="num" w:pos="2112"/>
        </w:tabs>
        <w:ind w:left="2112" w:hanging="360"/>
      </w:pPr>
      <w:rPr>
        <w:rFonts w:ascii="Symbol" w:hAnsi="Symbol" w:hint="default"/>
        <w:sz w:val="20"/>
      </w:rPr>
    </w:lvl>
    <w:lvl w:ilvl="5" w:tplc="FB92ADC6">
      <w:start w:val="1"/>
      <w:numFmt w:val="bullet"/>
      <w:lvlText w:val=""/>
      <w:lvlJc w:val="left"/>
      <w:pPr>
        <w:tabs>
          <w:tab w:val="num" w:pos="2832"/>
        </w:tabs>
        <w:ind w:left="2832" w:hanging="360"/>
      </w:pPr>
      <w:rPr>
        <w:rFonts w:ascii="Symbol" w:hAnsi="Symbol" w:hint="default"/>
        <w:sz w:val="20"/>
      </w:rPr>
    </w:lvl>
    <w:lvl w:ilvl="6" w:tplc="20A0ECF4">
      <w:start w:val="1"/>
      <w:numFmt w:val="bullet"/>
      <w:lvlText w:val=""/>
      <w:lvlJc w:val="left"/>
      <w:pPr>
        <w:tabs>
          <w:tab w:val="num" w:pos="3552"/>
        </w:tabs>
        <w:ind w:left="3552" w:hanging="360"/>
      </w:pPr>
      <w:rPr>
        <w:rFonts w:ascii="Symbol" w:hAnsi="Symbol" w:hint="default"/>
        <w:sz w:val="20"/>
      </w:rPr>
    </w:lvl>
    <w:lvl w:ilvl="7" w:tplc="FF48129C">
      <w:start w:val="1"/>
      <w:numFmt w:val="bullet"/>
      <w:lvlText w:val=""/>
      <w:lvlJc w:val="left"/>
      <w:pPr>
        <w:tabs>
          <w:tab w:val="num" w:pos="4272"/>
        </w:tabs>
        <w:ind w:left="4272" w:hanging="360"/>
      </w:pPr>
      <w:rPr>
        <w:rFonts w:ascii="Symbol" w:hAnsi="Symbol" w:hint="default"/>
        <w:sz w:val="20"/>
      </w:rPr>
    </w:lvl>
    <w:lvl w:ilvl="8" w:tplc="354024B2">
      <w:start w:val="1"/>
      <w:numFmt w:val="bullet"/>
      <w:lvlText w:val=""/>
      <w:lvlJc w:val="left"/>
      <w:pPr>
        <w:tabs>
          <w:tab w:val="num" w:pos="4992"/>
        </w:tabs>
        <w:ind w:left="4992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C447477"/>
    <w:multiLevelType w:val="hybridMultilevel"/>
    <w:tmpl w:val="AE883B34"/>
    <w:lvl w:ilvl="0" w:tplc="A20C18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DCC30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86507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3EA6E6C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E936543E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24E23E4A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1E447F1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41A8236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5F4C3C36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68A1A0F"/>
    <w:multiLevelType w:val="hybridMultilevel"/>
    <w:tmpl w:val="B2748566"/>
    <w:lvl w:ilvl="0" w:tplc="0E40F1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7448BE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BD62DCC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A168BB9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9C307C7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30F48874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596E276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D42E93A2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426486FC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8D2051B"/>
    <w:multiLevelType w:val="hybridMultilevel"/>
    <w:tmpl w:val="39A286F6"/>
    <w:lvl w:ilvl="0" w:tplc="1C4A8D4A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plc="EC6EDD04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  <w:sz w:val="20"/>
      </w:rPr>
    </w:lvl>
    <w:lvl w:ilvl="2" w:tplc="9FFAA804">
      <w:start w:val="1"/>
      <w:numFmt w:val="bullet"/>
      <w:lvlText w:val="o"/>
      <w:lvlJc w:val="left"/>
      <w:pPr>
        <w:tabs>
          <w:tab w:val="num" w:pos="2868"/>
        </w:tabs>
        <w:ind w:left="2868" w:hanging="360"/>
      </w:pPr>
      <w:rPr>
        <w:rFonts w:ascii="Courier New" w:hAnsi="Courier New" w:cs="Courier New" w:hint="default"/>
        <w:sz w:val="20"/>
      </w:rPr>
    </w:lvl>
    <w:lvl w:ilvl="3" w:tplc="337ED09A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  <w:sz w:val="20"/>
      </w:rPr>
    </w:lvl>
    <w:lvl w:ilvl="4" w:tplc="4218071E">
      <w:start w:val="1"/>
      <w:numFmt w:val="bullet"/>
      <w:lvlText w:val="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  <w:sz w:val="20"/>
      </w:rPr>
    </w:lvl>
    <w:lvl w:ilvl="5" w:tplc="68B8D2EE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  <w:sz w:val="20"/>
      </w:rPr>
    </w:lvl>
    <w:lvl w:ilvl="6" w:tplc="802A48C2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  <w:sz w:val="20"/>
      </w:rPr>
    </w:lvl>
    <w:lvl w:ilvl="7" w:tplc="B5B2EBA0">
      <w:start w:val="1"/>
      <w:numFmt w:val="bullet"/>
      <w:lvlText w:val=""/>
      <w:lvlJc w:val="left"/>
      <w:pPr>
        <w:tabs>
          <w:tab w:val="num" w:pos="6468"/>
        </w:tabs>
        <w:ind w:left="6468" w:hanging="360"/>
      </w:pPr>
      <w:rPr>
        <w:rFonts w:ascii="Symbol" w:hAnsi="Symbol" w:hint="default"/>
        <w:sz w:val="20"/>
      </w:rPr>
    </w:lvl>
    <w:lvl w:ilvl="8" w:tplc="01964DAC">
      <w:start w:val="1"/>
      <w:numFmt w:val="bullet"/>
      <w:lvlText w:val=""/>
      <w:lvlJc w:val="left"/>
      <w:pPr>
        <w:tabs>
          <w:tab w:val="num" w:pos="7188"/>
        </w:tabs>
        <w:ind w:left="7188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B7E11AE"/>
    <w:multiLevelType w:val="hybridMultilevel"/>
    <w:tmpl w:val="D53AB1A6"/>
    <w:lvl w:ilvl="0" w:tplc="C950ADBC">
      <w:start w:val="1"/>
      <w:numFmt w:val="bullet"/>
      <w:lvlText w:val=""/>
      <w:lvlJc w:val="left"/>
      <w:pPr>
        <w:tabs>
          <w:tab w:val="num" w:pos="1644"/>
        </w:tabs>
        <w:ind w:left="1644" w:hanging="360"/>
      </w:pPr>
      <w:rPr>
        <w:rFonts w:ascii="Symbol" w:hAnsi="Symbol" w:hint="default"/>
        <w:sz w:val="20"/>
      </w:rPr>
    </w:lvl>
    <w:lvl w:ilvl="1" w:tplc="8EA4A1C8">
      <w:start w:val="1"/>
      <w:numFmt w:val="bullet"/>
      <w:lvlText w:val=""/>
      <w:lvlJc w:val="left"/>
      <w:pPr>
        <w:tabs>
          <w:tab w:val="num" w:pos="2364"/>
        </w:tabs>
        <w:ind w:left="2364" w:hanging="360"/>
      </w:pPr>
      <w:rPr>
        <w:rFonts w:ascii="Symbol" w:hAnsi="Symbol" w:hint="default"/>
        <w:sz w:val="20"/>
      </w:rPr>
    </w:lvl>
    <w:lvl w:ilvl="2" w:tplc="16D440AE">
      <w:start w:val="1"/>
      <w:numFmt w:val="bullet"/>
      <w:lvlText w:val="o"/>
      <w:lvlJc w:val="left"/>
      <w:pPr>
        <w:tabs>
          <w:tab w:val="num" w:pos="3084"/>
        </w:tabs>
        <w:ind w:left="3084" w:hanging="360"/>
      </w:pPr>
      <w:rPr>
        <w:rFonts w:ascii="Courier New" w:hAnsi="Courier New" w:cs="Courier New" w:hint="default"/>
        <w:sz w:val="20"/>
      </w:rPr>
    </w:lvl>
    <w:lvl w:ilvl="3" w:tplc="C1DCB27C">
      <w:start w:val="1"/>
      <w:numFmt w:val="bullet"/>
      <w:lvlText w:val=""/>
      <w:lvlJc w:val="left"/>
      <w:pPr>
        <w:tabs>
          <w:tab w:val="num" w:pos="3804"/>
        </w:tabs>
        <w:ind w:left="3804" w:hanging="360"/>
      </w:pPr>
      <w:rPr>
        <w:rFonts w:ascii="Symbol" w:hAnsi="Symbol" w:hint="default"/>
        <w:sz w:val="20"/>
      </w:rPr>
    </w:lvl>
    <w:lvl w:ilvl="4" w:tplc="B1160B34">
      <w:start w:val="1"/>
      <w:numFmt w:val="bullet"/>
      <w:lvlText w:val=""/>
      <w:lvlJc w:val="left"/>
      <w:pPr>
        <w:tabs>
          <w:tab w:val="num" w:pos="4524"/>
        </w:tabs>
        <w:ind w:left="4524" w:hanging="360"/>
      </w:pPr>
      <w:rPr>
        <w:rFonts w:ascii="Symbol" w:hAnsi="Symbol" w:hint="default"/>
        <w:sz w:val="20"/>
      </w:rPr>
    </w:lvl>
    <w:lvl w:ilvl="5" w:tplc="20909FE4">
      <w:start w:val="1"/>
      <w:numFmt w:val="bullet"/>
      <w:lvlText w:val=""/>
      <w:lvlJc w:val="left"/>
      <w:pPr>
        <w:tabs>
          <w:tab w:val="num" w:pos="5244"/>
        </w:tabs>
        <w:ind w:left="5244" w:hanging="360"/>
      </w:pPr>
      <w:rPr>
        <w:rFonts w:ascii="Symbol" w:hAnsi="Symbol" w:hint="default"/>
        <w:sz w:val="20"/>
      </w:rPr>
    </w:lvl>
    <w:lvl w:ilvl="6" w:tplc="95E0342A">
      <w:start w:val="1"/>
      <w:numFmt w:val="bullet"/>
      <w:lvlText w:val=""/>
      <w:lvlJc w:val="left"/>
      <w:pPr>
        <w:tabs>
          <w:tab w:val="num" w:pos="5964"/>
        </w:tabs>
        <w:ind w:left="5964" w:hanging="360"/>
      </w:pPr>
      <w:rPr>
        <w:rFonts w:ascii="Symbol" w:hAnsi="Symbol" w:hint="default"/>
        <w:sz w:val="20"/>
      </w:rPr>
    </w:lvl>
    <w:lvl w:ilvl="7" w:tplc="A0509D80">
      <w:start w:val="1"/>
      <w:numFmt w:val="bullet"/>
      <w:lvlText w:val=""/>
      <w:lvlJc w:val="left"/>
      <w:pPr>
        <w:tabs>
          <w:tab w:val="num" w:pos="6684"/>
        </w:tabs>
        <w:ind w:left="6684" w:hanging="360"/>
      </w:pPr>
      <w:rPr>
        <w:rFonts w:ascii="Symbol" w:hAnsi="Symbol" w:hint="default"/>
        <w:sz w:val="20"/>
      </w:rPr>
    </w:lvl>
    <w:lvl w:ilvl="8" w:tplc="AD449CA4">
      <w:start w:val="1"/>
      <w:numFmt w:val="bullet"/>
      <w:lvlText w:val=""/>
      <w:lvlJc w:val="left"/>
      <w:pPr>
        <w:tabs>
          <w:tab w:val="num" w:pos="7404"/>
        </w:tabs>
        <w:ind w:left="7404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6881E1E"/>
    <w:multiLevelType w:val="hybridMultilevel"/>
    <w:tmpl w:val="27D2261E"/>
    <w:lvl w:ilvl="0" w:tplc="C06CA08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C60F88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92EA7FF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9F2CED8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ED3A7752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F738A9F0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E4DA149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1A069CE2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097E6C84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28655189">
    <w:abstractNumId w:val="23"/>
  </w:num>
  <w:num w:numId="2" w16cid:durableId="882792797">
    <w:abstractNumId w:val="25"/>
  </w:num>
  <w:num w:numId="3" w16cid:durableId="1197157369">
    <w:abstractNumId w:val="27"/>
  </w:num>
  <w:num w:numId="4" w16cid:durableId="1506440541">
    <w:abstractNumId w:val="22"/>
  </w:num>
  <w:num w:numId="5" w16cid:durableId="1575309914">
    <w:abstractNumId w:val="18"/>
  </w:num>
  <w:num w:numId="6" w16cid:durableId="1479226052">
    <w:abstractNumId w:val="1"/>
  </w:num>
  <w:num w:numId="7" w16cid:durableId="1043599218">
    <w:abstractNumId w:val="7"/>
  </w:num>
  <w:num w:numId="8" w16cid:durableId="508907484">
    <w:abstractNumId w:val="6"/>
  </w:num>
  <w:num w:numId="9" w16cid:durableId="770664356">
    <w:abstractNumId w:val="9"/>
  </w:num>
  <w:num w:numId="10" w16cid:durableId="973752299">
    <w:abstractNumId w:val="17"/>
  </w:num>
  <w:num w:numId="11" w16cid:durableId="1124037753">
    <w:abstractNumId w:val="4"/>
  </w:num>
  <w:num w:numId="12" w16cid:durableId="621809491">
    <w:abstractNumId w:val="16"/>
  </w:num>
  <w:num w:numId="13" w16cid:durableId="1039403872">
    <w:abstractNumId w:val="13"/>
  </w:num>
  <w:num w:numId="14" w16cid:durableId="1897542245">
    <w:abstractNumId w:val="10"/>
  </w:num>
  <w:num w:numId="15" w16cid:durableId="707265458">
    <w:abstractNumId w:val="11"/>
  </w:num>
  <w:num w:numId="16" w16cid:durableId="328557285">
    <w:abstractNumId w:val="5"/>
  </w:num>
  <w:num w:numId="17" w16cid:durableId="2142845759">
    <w:abstractNumId w:val="29"/>
  </w:num>
  <w:num w:numId="18" w16cid:durableId="1015958132">
    <w:abstractNumId w:val="28"/>
  </w:num>
  <w:num w:numId="19" w16cid:durableId="1192035419">
    <w:abstractNumId w:val="14"/>
  </w:num>
  <w:num w:numId="20" w16cid:durableId="775371535">
    <w:abstractNumId w:val="2"/>
  </w:num>
  <w:num w:numId="21" w16cid:durableId="1931280778">
    <w:abstractNumId w:val="19"/>
  </w:num>
  <w:num w:numId="22" w16cid:durableId="1253663665">
    <w:abstractNumId w:val="26"/>
  </w:num>
  <w:num w:numId="23" w16cid:durableId="2003925320">
    <w:abstractNumId w:val="24"/>
  </w:num>
  <w:num w:numId="24" w16cid:durableId="577904104">
    <w:abstractNumId w:val="12"/>
  </w:num>
  <w:num w:numId="25" w16cid:durableId="1899780331">
    <w:abstractNumId w:val="8"/>
  </w:num>
  <w:num w:numId="26" w16cid:durableId="493571992">
    <w:abstractNumId w:val="21"/>
  </w:num>
  <w:num w:numId="27" w16cid:durableId="948855831">
    <w:abstractNumId w:val="15"/>
  </w:num>
  <w:num w:numId="28" w16cid:durableId="460654337">
    <w:abstractNumId w:val="20"/>
  </w:num>
  <w:num w:numId="29" w16cid:durableId="695276926">
    <w:abstractNumId w:val="3"/>
  </w:num>
  <w:num w:numId="30" w16cid:durableId="1182549484">
    <w:abstractNumId w:val="0"/>
  </w:num>
  <w:num w:numId="31" w16cid:durableId="2027756065">
    <w:abstractNumId w:val="3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90A"/>
    <w:rsid w:val="001C6795"/>
    <w:rsid w:val="002F290A"/>
    <w:rsid w:val="003E72E2"/>
    <w:rsid w:val="005764DF"/>
    <w:rsid w:val="009D4F02"/>
    <w:rsid w:val="009F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6A6C1"/>
  <w15:docId w15:val="{16E2A308-2A54-4C7F-9A46-4D43489F8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jc w:val="both"/>
    </w:pPr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numPr>
        <w:numId w:val="1"/>
      </w:numPr>
      <w:spacing w:before="240" w:after="0"/>
      <w:outlineLvl w:val="0"/>
    </w:pPr>
    <w:rPr>
      <w:rFonts w:eastAsiaTheme="majorEastAsia" w:cstheme="majorBidi"/>
      <w:szCs w:val="32"/>
    </w:rPr>
  </w:style>
  <w:style w:type="paragraph" w:styleId="Nagwek2">
    <w:name w:val="heading 2"/>
    <w:basedOn w:val="Nagwek1"/>
    <w:next w:val="Normalny"/>
    <w:link w:val="Nagwek2Znak"/>
    <w:uiPriority w:val="9"/>
    <w:unhideWhenUsed/>
    <w:qFormat/>
    <w:pPr>
      <w:numPr>
        <w:ilvl w:val="1"/>
      </w:numPr>
      <w:spacing w:after="240"/>
      <w:outlineLvl w:val="1"/>
    </w:pPr>
    <w:rPr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numPr>
        <w:ilvl w:val="2"/>
        <w:numId w:val="1"/>
      </w:numPr>
      <w:spacing w:before="160" w:after="120"/>
      <w:outlineLvl w:val="2"/>
    </w:pPr>
    <w:rPr>
      <w:rFonts w:eastAsiaTheme="majorEastAsia" w:cstheme="majorBidi"/>
      <w:szCs w:val="24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pPr>
      <w:numPr>
        <w:ilvl w:val="3"/>
      </w:numPr>
      <w:spacing w:before="120"/>
      <w:outlineLvl w:val="3"/>
    </w:pPr>
    <w:rPr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Light">
    <w:name w:val="Table Grid Light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">
    <w:name w:val="Grid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">
    <w:name w:val="Grid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">
    <w:name w:val="Grid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">
    <w:name w:val="Grid Table 4 - Accent 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">
    <w:name w:val="Grid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">
    <w:name w:val="Grid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">
    <w:name w:val="List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">
    <w:name w:val="List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">
    <w:name w:val="List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">
    <w:name w:val="List Table 4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">
    <w:name w:val="List Table 5 Dark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">
    <w:name w:val="List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CaptionChar">
    <w:name w:val="Caption Char"/>
    <w:uiPriority w:val="99"/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StopkaZnak">
    <w:name w:val="Stopka Znak"/>
    <w:link w:val="Stopka"/>
    <w:uiPriority w:val="99"/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Siatkatabelijasna">
    <w:name w:val="Grid Table Light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Tabelasiatki1jasnaakcent1">
    <w:name w:val="Grid Table 1 Light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Tabelasiatki1jasnaakcent2">
    <w:name w:val="Grid Table 1 Light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Tabelasiatki1jasnaakcent3">
    <w:name w:val="Grid Table 1 Light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Tabelasiatki1jasnaakcent4">
    <w:name w:val="Grid Table 1 Light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Tabelasiatki1jasnaakcent5">
    <w:name w:val="Grid Table 1 Light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Tabelasiatki1jasnaakcent6">
    <w:name w:val="Grid Table 1 Light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Tabelasiatki2akcent1">
    <w:name w:val="Grid Table 2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Tabelasiatki2akcent2">
    <w:name w:val="Grid Table 2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Tabelasiatki2akcent3">
    <w:name w:val="Grid Table 2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Tabelasiatki2akcent4">
    <w:name w:val="Grid Table 2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Tabelasiatki2akcent5">
    <w:name w:val="Grid Table 2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Tabelasiatki2akcent6">
    <w:name w:val="Grid Table 2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Tabelasiatki3akcent1">
    <w:name w:val="Grid Table 3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Tabelasiatki3akcent2">
    <w:name w:val="Grid Table 3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Tabelasiatki3akcent3">
    <w:name w:val="Grid Table 3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Tabelasiatki3akcent4">
    <w:name w:val="Grid Table 3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Tabelasiatki3akcent5">
    <w:name w:val="Grid Table 3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Tabelasiatki3akcent6">
    <w:name w:val="Grid Table 3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Tabelasiatki4akcent1">
    <w:name w:val="Grid Table 4 Accent 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Tabelasiatki4akcent2">
    <w:name w:val="Grid Table 4 Accent 2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Tabelasiatki4akcent3">
    <w:name w:val="Grid Table 4 Accent 3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Tabelasiatki4akcent4">
    <w:name w:val="Grid Table 4 Accent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Tabelasiatki4akcent5">
    <w:name w:val="Grid Table 4 Accent 5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Tabelasiatki4akcent6">
    <w:name w:val="Grid Table 4 Accent 6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Tabelasiatki5ciemnaakcent2">
    <w:name w:val="Grid Table 5 Dark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Tabelasiatki5ciemnaakcent3">
    <w:name w:val="Grid Table 5 Dark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Tabelasiatki5ciemnaakcent5">
    <w:name w:val="Grid Table 5 Dark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Tabelasiatki5ciemnaakcent6">
    <w:name w:val="Grid Table 5 Dark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Tabelasiatki6kolorowaakcent1">
    <w:name w:val="Grid Table 6 Colorful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Tabelasiatki6kolorowaakcent2">
    <w:name w:val="Grid Table 6 Colorful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asiatki6kolorowaakcent3">
    <w:name w:val="Grid Table 6 Colorful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Tabelasiatki6kolorowaakcent4">
    <w:name w:val="Grid Table 6 Colorful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asiatki6kolorowaakcent5">
    <w:name w:val="Grid Table 6 Colorful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6kolorowaakcent6">
    <w:name w:val="Grid Table 6 Colorful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Tabelasiatki7kolorowaakcent1">
    <w:name w:val="Grid Table 7 Colorful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Tabelasiatki7kolorowaakcent2">
    <w:name w:val="Grid Table 7 Colorful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asiatki7kolorowaakcent3">
    <w:name w:val="Grid Table 7 Colorful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Tabelasiatki7kolorowaakcent4">
    <w:name w:val="Grid Table 7 Colorful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asiatki7kolorowaakcent5">
    <w:name w:val="Grid Table 7 Colorful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akcent6">
    <w:name w:val="Grid Table 7 Colorful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Tabelalisty1jasnaakcent1">
    <w:name w:val="List Table 1 Light Accent 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Tabelalisty1jasnaakcent2">
    <w:name w:val="List Table 1 Light Accent 2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Tabelalisty1jasnaakcent3">
    <w:name w:val="List Table 1 Light Accent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Tabelalisty1jasnaakcent4">
    <w:name w:val="List Table 1 Light Accent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Tabelalisty1jasnaakcent5">
    <w:name w:val="List Table 1 Light Accent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Tabelalisty1jasnaakcent6">
    <w:name w:val="List Table 1 Light Accent 6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Tabelalisty2akcent1">
    <w:name w:val="List Table 2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Tabelalisty2akcent2">
    <w:name w:val="List Table 2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Tabelalisty2akcent3">
    <w:name w:val="List Table 2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Tabelalisty2akcent4">
    <w:name w:val="List Table 2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Tabelalisty2akcent5">
    <w:name w:val="List Table 2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Tabelalisty2akcent6">
    <w:name w:val="List Table 2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alisty3akcent1">
    <w:name w:val="List Table 3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Tabelalisty3akcent2">
    <w:name w:val="List Table 3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Tabelalisty3akcent3">
    <w:name w:val="List Table 3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Tabelalisty3akcent4">
    <w:name w:val="List Table 3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Tabelalisty3akcent5">
    <w:name w:val="List Table 3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Tabelalisty3akcent6">
    <w:name w:val="List Table 3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Tabelalisty4akcent1">
    <w:name w:val="List Table 4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Tabelalisty4akcent2">
    <w:name w:val="List Table 4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Tabelalisty4akcent3">
    <w:name w:val="List Table 4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Tabelalisty4akcent4">
    <w:name w:val="List Table 4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Tabelalisty4akcent5">
    <w:name w:val="List Table 4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Tabelalisty4akcent6">
    <w:name w:val="List Table 4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Tabelalisty5ciemnaakcent1">
    <w:name w:val="List Table 5 Dark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Tabelalisty5ciemnaakcent2">
    <w:name w:val="List Table 5 Dark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Tabelalisty5ciemnaakcent3">
    <w:name w:val="List Table 5 Dark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Tabelalisty5ciemnaakcent4">
    <w:name w:val="List Table 5 Dark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Tabelalisty5ciemnaakcent5">
    <w:name w:val="List Table 5 Dark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Tabelalisty5ciemnaakcent6">
    <w:name w:val="List Table 5 Dark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Tabelalisty6kolorowaakcent1">
    <w:name w:val="List Table 6 Colorful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Tabelalisty6kolorowaakcent2">
    <w:name w:val="List Table 6 Colorful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alisty6kolorowaakcent3">
    <w:name w:val="List Table 6 Colorful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Tabelalisty6kolorowaakcent4">
    <w:name w:val="List Table 6 Colorful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alisty6kolorowaakcent5">
    <w:name w:val="List Table 6 Colorful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Tabelalisty6kolorowaakcent6">
    <w:name w:val="List Table 6 Colorful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Tabelalisty7kolorowaakcent1">
    <w:name w:val="List Table 7 Colorful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Tabelalisty7kolorowaakcent2">
    <w:name w:val="List Table 7 Colorful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alisty7kolorowaakcent3">
    <w:name w:val="List Table 7 Colorful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Tabelalisty7kolorowaakcent4">
    <w:name w:val="List Table 7 Colorful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alisty7kolorowaakcent5">
    <w:name w:val="List Table 7 Colorful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Tabelalisty7kolorowaakcent6">
    <w:name w:val="List Table 7 Colorful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ipercze">
    <w:name w:val="Hyperlink"/>
    <w:uiPriority w:val="99"/>
    <w:unhideWhenUsed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rPr>
      <w:sz w:val="20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  <w:pPr>
      <w:spacing w:after="0"/>
    </w:pPr>
  </w:style>
  <w:style w:type="character" w:customStyle="1" w:styleId="Nagwek1Znak">
    <w:name w:val="Nagłówek 1 Znak"/>
    <w:basedOn w:val="Domylnaczcionkaakapitu"/>
    <w:link w:val="Nagwek1"/>
    <w:uiPriority w:val="9"/>
    <w:rPr>
      <w:rFonts w:ascii="Times New Roman" w:eastAsiaTheme="majorEastAsia" w:hAnsi="Times New Roman" w:cstheme="majorBidi"/>
      <w:sz w:val="24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="Times New Roman" w:eastAsiaTheme="majorEastAsia" w:hAnsi="Times New Roman" w:cstheme="majorBidi"/>
      <w:sz w:val="24"/>
      <w:szCs w:val="26"/>
    </w:rPr>
  </w:style>
  <w:style w:type="paragraph" w:styleId="Bezodstpw">
    <w:name w:val="No Spacing"/>
    <w:uiPriority w:val="1"/>
    <w:qFormat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="Times New Roman" w:eastAsiaTheme="majorEastAsia" w:hAnsi="Times New Roman" w:cstheme="majorBidi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Times New Roman" w:eastAsiaTheme="majorEastAsia" w:hAnsi="Times New Roman" w:cstheme="majorBidi"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customStyle="1" w:styleId="Nagwek7Znak">
    <w:name w:val="Nagłówek 7 Znak"/>
    <w:basedOn w:val="Domylnaczcionkaakapitu"/>
    <w:link w:val="Nagwek7"/>
    <w:uiPriority w:val="9"/>
    <w:semiHidden/>
    <w:rPr>
      <w:rFonts w:asciiTheme="majorHAnsi" w:eastAsiaTheme="majorEastAsia" w:hAnsiTheme="majorHAnsi" w:cstheme="majorBidi"/>
      <w:i/>
      <w:iCs/>
      <w:color w:val="1F3763" w:themeColor="accent1" w:themeShade="7F"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kapitzlist">
    <w:name w:val="List Paragraph"/>
    <w:basedOn w:val="Normalny"/>
    <w:link w:val="AkapitzlistZnak"/>
    <w:uiPriority w:val="34"/>
    <w:qFormat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Pr>
      <w:rFonts w:cs="Times New Roman"/>
      <w:szCs w:val="24"/>
    </w:rPr>
  </w:style>
  <w:style w:type="character" w:styleId="Tekstzastpczy">
    <w:name w:val="Placeholder Text"/>
    <w:basedOn w:val="Domylnaczcionkaakapitu"/>
    <w:uiPriority w:val="99"/>
    <w:semiHidden/>
    <w:rPr>
      <w:color w:val="808080"/>
    </w:rPr>
  </w:style>
  <w:style w:type="paragraph" w:customStyle="1" w:styleId="docdata">
    <w:name w:val="docdata"/>
    <w:basedOn w:val="Normalny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l-PL"/>
    </w:rPr>
  </w:style>
  <w:style w:type="paragraph" w:customStyle="1" w:styleId="paragraph">
    <w:name w:val="paragraph"/>
    <w:basedOn w:val="Normalny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l-PL"/>
    </w:rPr>
  </w:style>
  <w:style w:type="character" w:customStyle="1" w:styleId="normaltextrun">
    <w:name w:val="normaltextrun"/>
    <w:basedOn w:val="Domylnaczcionkaakapitu"/>
  </w:style>
  <w:style w:type="character" w:customStyle="1" w:styleId="eop">
    <w:name w:val="eop"/>
    <w:basedOn w:val="Domylnaczcionkaakapitu"/>
  </w:style>
  <w:style w:type="character" w:customStyle="1" w:styleId="spellingerror">
    <w:name w:val="spellingerror"/>
    <w:basedOn w:val="Domylnaczcionkaakapitu"/>
  </w:style>
  <w:style w:type="character" w:customStyle="1" w:styleId="contextualspellingandgrammarerror">
    <w:name w:val="contextualspellingandgrammarerror"/>
    <w:basedOn w:val="Domylnaczcionkaakapitu"/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Times New Roman" w:hAnsi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hAnsi="Times New Roman"/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hAnsi="Times New Roman"/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unhideWhenUsed/>
    <w:rPr>
      <w:color w:val="605E5C"/>
      <w:shd w:val="clear" w:color="auto" w:fill="E1DFDD"/>
    </w:rPr>
  </w:style>
  <w:style w:type="character" w:styleId="Wzmianka">
    <w:name w:val="Mention"/>
    <w:basedOn w:val="Domylnaczcionkaakapitu"/>
    <w:uiPriority w:val="99"/>
    <w:unhideWhenUsed/>
    <w:rPr>
      <w:color w:val="2B579A"/>
      <w:shd w:val="clear" w:color="auto" w:fill="E1DFDD"/>
    </w:rPr>
  </w:style>
  <w:style w:type="character" w:customStyle="1" w:styleId="ui-provider">
    <w:name w:val="ui-provider"/>
    <w:basedOn w:val="Domylnaczcionkaakapitu"/>
  </w:style>
  <w:style w:type="character" w:customStyle="1" w:styleId="AkapitzlistZnak">
    <w:name w:val="Akapit z listą Znak"/>
    <w:basedOn w:val="Domylnaczcionkaakapitu"/>
    <w:link w:val="Akapitzlist"/>
    <w:uiPriority w:val="34"/>
    <w:qFormat/>
    <w:rPr>
      <w:rFonts w:ascii="Times New Roman" w:hAnsi="Times New Roman"/>
      <w:sz w:val="24"/>
    </w:rPr>
  </w:style>
  <w:style w:type="table" w:customStyle="1" w:styleId="ListTable7Colorful-Accent410">
    <w:name w:val="List Table 7 Colorful - Accent 41"/>
    <w:basedOn w:val="Standardowy"/>
    <w:uiPriority w:val="99"/>
    <w:pPr>
      <w:spacing w:after="0" w:line="240" w:lineRule="auto"/>
    </w:pPr>
    <w:rPr>
      <w:rFonts w:ascii="Arial" w:eastAsia="Arial" w:hAnsi="Arial" w:cs="Arial"/>
      <w:lang w:val="pl" w:eastAsia="zh-CN"/>
    </w:r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character" w:customStyle="1" w:styleId="docy">
    <w:name w:val="docy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20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A751B4C7505346ADA1A8FE5D693B91" ma:contentTypeVersion="16" ma:contentTypeDescription="Create a new document." ma:contentTypeScope="" ma:versionID="2fbcf265daa9f216795d465b8fa519ad">
  <xsd:schema xmlns:xsd="http://www.w3.org/2001/XMLSchema" xmlns:xs="http://www.w3.org/2001/XMLSchema" xmlns:p="http://schemas.microsoft.com/office/2006/metadata/properties" xmlns:ns2="d9bbb4ff-4615-4d7c-a8d5-a131360cf156" xmlns:ns3="8b59c923-8eb3-4bda-8403-f0499f17b193" xmlns:ns4="d8762117-8292-4133-b1c7-eab5c6487cfd" targetNamespace="http://schemas.microsoft.com/office/2006/metadata/properties" ma:root="true" ma:fieldsID="463e44cfed73c20885ee667ed2d954f4" ns2:_="" ns3:_="" ns4:_="">
    <xsd:import namespace="d9bbb4ff-4615-4d7c-a8d5-a131360cf156"/>
    <xsd:import namespace="8b59c923-8eb3-4bda-8403-f0499f17b193"/>
    <xsd:import namespace="d8762117-8292-4133-b1c7-eab5c6487cf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bb4ff-4615-4d7c-a8d5-a131360cf15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59c923-8eb3-4bda-8403-f0499f17b1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3d31b72-c4b9-4223-ac69-1d9539891d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62117-8292-4133-b1c7-eab5c6487cf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d7da9e7-6930-4cc7-8978-8c8daf121b26}" ma:internalName="TaxCatchAll" ma:showField="CatchAllData" ma:web="d9bbb4ff-4615-4d7c-a8d5-a131360cf1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8762117-8292-4133-b1c7-eab5c6487cfd" xsi:nil="true"/>
    <lcf76f155ced4ddcb4097134ff3c332f xmlns="8b59c923-8eb3-4bda-8403-f0499f17b193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27C108-9C30-4157-86C5-290CFD6603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bbb4ff-4615-4d7c-a8d5-a131360cf156"/>
    <ds:schemaRef ds:uri="8b59c923-8eb3-4bda-8403-f0499f17b193"/>
    <ds:schemaRef ds:uri="d8762117-8292-4133-b1c7-eab5c6487c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AA8A40-7710-429C-A3D0-072D324A97B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10FC739-8B7C-4E14-B6FE-E8896CE01A4E}">
  <ds:schemaRefs>
    <ds:schemaRef ds:uri="http://schemas.microsoft.com/office/2006/metadata/properties"/>
    <ds:schemaRef ds:uri="http://schemas.microsoft.com/office/infopath/2007/PartnerControls"/>
    <ds:schemaRef ds:uri="d8762117-8292-4133-b1c7-eab5c6487cfd"/>
    <ds:schemaRef ds:uri="8b59c923-8eb3-4bda-8403-f0499f17b193"/>
  </ds:schemaRefs>
</ds:datastoreItem>
</file>

<file path=customXml/itemProps4.xml><?xml version="1.0" encoding="utf-8"?>
<ds:datastoreItem xmlns:ds="http://schemas.openxmlformats.org/officeDocument/2006/customXml" ds:itemID="{F9EF5819-9738-4D6D-8123-764E145F12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1905</Words>
  <Characters>11435</Characters>
  <Application>Microsoft Office Word</Application>
  <DocSecurity>0</DocSecurity>
  <Lines>95</Lines>
  <Paragraphs>26</Paragraphs>
  <ScaleCrop>false</ScaleCrop>
  <Company/>
  <LinksUpToDate>false</LinksUpToDate>
  <CharactersWithSpaces>13314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</dc:creator>
  <cp:lastModifiedBy>Dorota Achrem-Achremowicz</cp:lastModifiedBy>
  <cp:revision>2</cp:revision>
  <cp:lastPrinted>2023-06-19T14:05:00Z</cp:lastPrinted>
  <dcterms:created xsi:type="dcterms:W3CDTF">2023-06-19T14:05:00Z</dcterms:created>
  <dcterms:modified xsi:type="dcterms:W3CDTF">2023-06-19T14:05:00Z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0x010100DEA751B4C7505346ADA1A8FE5D693B91</vt:lpwstr>
  </property>
  <property fmtid="{D5CDD505-2E9C-101B-9397-08002B2CF9AE}" pid="3" name="MediaServiceImageTags">
    <vt:lpwstr/>
  </property>
</Properties>
</file>