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1F53C" w14:textId="77777777" w:rsidR="009B1F1E" w:rsidRDefault="009B1F1E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39C4B2F3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bookmarkStart w:id="0" w:name="_GoBack"/>
      <w:bookmarkEnd w:id="0"/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3D5EDE51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870905" w:rsidRPr="00870905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zestawów do przetaczania płynów, krwi i preparatów krwiopochodnych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870905">
        <w:rPr>
          <w:rFonts w:ascii="Times New Roman" w:hAnsi="Times New Roman" w:cs="Times New Roman"/>
          <w:b/>
          <w:bCs/>
          <w:sz w:val="21"/>
          <w:szCs w:val="21"/>
        </w:rPr>
        <w:t>14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DD700B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1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2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2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3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3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0905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1F1E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A3371-1D92-40B7-933F-1C1465616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731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13</cp:revision>
  <cp:lastPrinted>2022-08-08T09:38:00Z</cp:lastPrinted>
  <dcterms:created xsi:type="dcterms:W3CDTF">2022-05-09T10:10:00Z</dcterms:created>
  <dcterms:modified xsi:type="dcterms:W3CDTF">2023-03-16T08:43:00Z</dcterms:modified>
</cp:coreProperties>
</file>