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5049D281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4E4FC3">
        <w:rPr>
          <w:rFonts w:ascii="Times New Roman" w:eastAsia="Calibri" w:hAnsi="Times New Roman" w:cs="Times New Roman"/>
          <w:b/>
        </w:rPr>
        <w:t>3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4E4FC3">
        <w:rPr>
          <w:rFonts w:ascii="Times New Roman" w:eastAsia="Calibri" w:hAnsi="Times New Roman" w:cs="Times New Roman"/>
          <w:b/>
        </w:rPr>
        <w:t>3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74D04CC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 xml:space="preserve">Zakup i dostawa produktów farmaceutycznych </w:t>
      </w:r>
      <w:r w:rsidR="00406886">
        <w:rPr>
          <w:rFonts w:ascii="Arial" w:hAnsi="Arial" w:cs="Arial"/>
          <w:b/>
          <w:b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846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Natalia Machaj</cp:lastModifiedBy>
  <cp:revision>7</cp:revision>
  <dcterms:created xsi:type="dcterms:W3CDTF">2022-05-09T10:11:00Z</dcterms:created>
  <dcterms:modified xsi:type="dcterms:W3CDTF">2023-01-25T07:48:00Z</dcterms:modified>
</cp:coreProperties>
</file>