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6EE3C2D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4108E1">
        <w:rPr>
          <w:rFonts w:ascii="Arial" w:hAnsi="Arial" w:cs="Arial"/>
          <w:b/>
          <w:bCs/>
          <w:sz w:val="21"/>
          <w:szCs w:val="21"/>
        </w:rPr>
        <w:t>dostawa urządzenia do topienia i odlewania ciśnieniowo-próżniowego w osłonie gazów obojętnych - KC-zp.272-</w:t>
      </w:r>
      <w:r w:rsidR="004108E1">
        <w:rPr>
          <w:rFonts w:ascii="Arial" w:hAnsi="Arial" w:cs="Arial"/>
          <w:b/>
          <w:bCs/>
          <w:sz w:val="21"/>
          <w:szCs w:val="21"/>
        </w:rPr>
        <w:t>66/23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4</cp:revision>
  <cp:lastPrinted>2016-07-26T10:32:00Z</cp:lastPrinted>
  <dcterms:created xsi:type="dcterms:W3CDTF">2022-11-16T07:33:00Z</dcterms:created>
  <dcterms:modified xsi:type="dcterms:W3CDTF">2023-01-31T13:40:00Z</dcterms:modified>
</cp:coreProperties>
</file>