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6A1089">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95524E">
      <w:pPr>
        <w:pStyle w:val="Akapitzlist"/>
        <w:numPr>
          <w:ilvl w:val="0"/>
          <w:numId w:val="2"/>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w:t>
      </w:r>
      <w:r w:rsidR="00F12ABD">
        <w:rPr>
          <w:rFonts w:ascii="Verdana" w:hAnsi="Verdana"/>
          <w:b/>
          <w:bCs/>
          <w:lang w:val="pl-PL"/>
        </w:rPr>
        <w:t>3</w:t>
      </w:r>
      <w:r>
        <w:rPr>
          <w:rFonts w:ascii="Verdana" w:hAnsi="Verdana"/>
          <w:b/>
          <w:lang w:val="pl-PL"/>
        </w:rPr>
        <w:t>.</w:t>
      </w:r>
    </w:p>
    <w:p w:rsidR="00BA5498" w:rsidRDefault="00BA5498" w:rsidP="0095524E">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6A1089" w:rsidRDefault="006A1089"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Sprzedawca zobowiązuje się dostarczyć</w:t>
      </w:r>
      <w:r w:rsidR="0046027E">
        <w:rPr>
          <w:rFonts w:ascii="Verdana" w:eastAsia="Calibri" w:hAnsi="Verdana" w:cs="Calibri"/>
          <w:sz w:val="20"/>
        </w:rPr>
        <w:t>, zainstalować, uruchomić i przetestować prawidłowości działania</w:t>
      </w:r>
      <w:r>
        <w:rPr>
          <w:rFonts w:ascii="Verdana" w:hAnsi="Verdana"/>
          <w:sz w:val="20"/>
        </w:rPr>
        <w:t xml:space="preserve"> sprzęt</w:t>
      </w:r>
      <w:r w:rsidR="0046027E">
        <w:rPr>
          <w:rFonts w:ascii="Verdana" w:hAnsi="Verdana"/>
          <w:sz w:val="20"/>
        </w:rPr>
        <w:t>u</w:t>
      </w:r>
      <w:r>
        <w:rPr>
          <w:rFonts w:ascii="Verdana" w:hAnsi="Verdana"/>
          <w:sz w:val="20"/>
        </w:rPr>
        <w:t xml:space="preserve">, o którym mowa w § 1 w terminie </w:t>
      </w:r>
      <w:r>
        <w:rPr>
          <w:rFonts w:ascii="Verdana" w:hAnsi="Verdana"/>
          <w:b/>
          <w:bCs/>
          <w:iCs/>
          <w:color w:val="000000"/>
          <w:sz w:val="20"/>
        </w:rPr>
        <w:t xml:space="preserve">do …… dni od daty podpisania umowy </w:t>
      </w:r>
      <w:r>
        <w:rPr>
          <w:rFonts w:ascii="Verdana" w:hAnsi="Verdana"/>
          <w:sz w:val="20"/>
        </w:rPr>
        <w:t>do siedziby Kupującego.</w:t>
      </w:r>
    </w:p>
    <w:p w:rsidR="006A1089" w:rsidRDefault="00BA5498"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Dodatkowo Sprzedawca zobowiązuje się (bez prawa do odrębnego wynagrodzenia) do przeprowadzenia szkolenia </w:t>
      </w:r>
      <w:r w:rsidR="006A1089">
        <w:rPr>
          <w:rFonts w:ascii="Verdana" w:hAnsi="Verdana"/>
          <w:sz w:val="20"/>
        </w:rPr>
        <w:t>oraz konsultacji technicznych obejmujących procedury uruchomienia i funkcjonowania robota dla minimum 2 osób.</w:t>
      </w:r>
    </w:p>
    <w:p w:rsidR="00BA5498" w:rsidRDefault="006A1089" w:rsidP="0095524E">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Pr>
          <w:rFonts w:ascii="Verdana" w:hAnsi="Verdana"/>
          <w:sz w:val="20"/>
        </w:rPr>
        <w:t>Wydanie przedmiotu umowy Kupującemu winno nastąpić w miejscu wskazanym w pkt. 1  w godzinach uzgodnionych z Kupującym.</w:t>
      </w:r>
    </w:p>
    <w:p w:rsidR="00BA5498" w:rsidRDefault="00BA5498" w:rsidP="0095524E">
      <w:pPr>
        <w:pStyle w:val="Tekstpodstawowy"/>
        <w:numPr>
          <w:ilvl w:val="0"/>
          <w:numId w:val="3"/>
        </w:numPr>
        <w:tabs>
          <w:tab w:val="clear" w:pos="720"/>
          <w:tab w:val="num" w:pos="284"/>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6A1089">
        <w:rPr>
          <w:rFonts w:ascii="Verdana" w:hAnsi="Verdana"/>
          <w:sz w:val="20"/>
        </w:rPr>
        <w:t xml:space="preserve"> oraz zainstaluje</w:t>
      </w:r>
      <w:r w:rsidR="0046027E">
        <w:rPr>
          <w:rFonts w:ascii="Verdana" w:hAnsi="Verdana"/>
          <w:sz w:val="20"/>
        </w:rPr>
        <w:t>, uruchomi i przetestuje prawidłowość działania</w:t>
      </w:r>
      <w:r>
        <w:rPr>
          <w:rFonts w:ascii="Verdana" w:hAnsi="Verdana"/>
          <w:sz w:val="20"/>
        </w:rPr>
        <w:t>.</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95524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 xml:space="preserve">na  </w:t>
      </w:r>
      <w:r w:rsidR="006A1089">
        <w:rPr>
          <w:rFonts w:ascii="Verdana" w:hAnsi="Verdana"/>
          <w:sz w:val="20"/>
        </w:rPr>
        <w:t>k</w:t>
      </w:r>
      <w:r>
        <w:rPr>
          <w:rFonts w:ascii="Verdana" w:hAnsi="Verdana"/>
          <w:sz w:val="20"/>
        </w:rPr>
        <w:t>wotę</w:t>
      </w:r>
      <w:r w:rsidR="006A1089">
        <w:rPr>
          <w:rFonts w:ascii="Verdana" w:hAnsi="Verdana"/>
          <w:sz w:val="20"/>
        </w:rPr>
        <w:t xml:space="preserve"> </w:t>
      </w:r>
      <w:r>
        <w:rPr>
          <w:rFonts w:ascii="Verdana" w:hAnsi="Verdana"/>
          <w:sz w:val="20"/>
        </w:rPr>
        <w:t>........................</w:t>
      </w:r>
      <w:r w:rsidR="006A1089">
        <w:rPr>
          <w:rFonts w:ascii="Verdana" w:hAnsi="Verdana"/>
          <w:sz w:val="20"/>
        </w:rPr>
        <w:t xml:space="preserve"> </w:t>
      </w:r>
      <w:r>
        <w:rPr>
          <w:rFonts w:ascii="Verdana" w:hAnsi="Verdana"/>
          <w:i/>
          <w:sz w:val="20"/>
        </w:rPr>
        <w:t>(słownie</w:t>
      </w:r>
      <w:r w:rsidR="006A1089">
        <w:rPr>
          <w:rFonts w:ascii="Verdana" w:hAnsi="Verdana"/>
          <w:i/>
          <w:sz w:val="20"/>
        </w:rPr>
        <w:t xml:space="preserve">: </w:t>
      </w:r>
      <w:r>
        <w:rPr>
          <w:rFonts w:ascii="Verdana" w:hAnsi="Verdana"/>
          <w:i/>
          <w:sz w:val="20"/>
        </w:rPr>
        <w:t>..............................................)</w:t>
      </w:r>
    </w:p>
    <w:p w:rsidR="00BA5498" w:rsidRDefault="00BA5498" w:rsidP="0095524E">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6A1089">
        <w:rPr>
          <w:rFonts w:ascii="Verdana" w:hAnsi="Verdana"/>
          <w:sz w:val="20"/>
        </w:rPr>
        <w:t xml:space="preserve"> </w:t>
      </w:r>
      <w:r>
        <w:rPr>
          <w:rFonts w:ascii="Verdana" w:hAnsi="Verdana"/>
          <w:i/>
          <w:sz w:val="20"/>
        </w:rPr>
        <w:t>(słownie: ...............................................................)</w:t>
      </w:r>
    </w:p>
    <w:p w:rsidR="00BA5498" w:rsidRDefault="00BA5498" w:rsidP="0095524E">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BA5498" w:rsidRDefault="00BA5498" w:rsidP="0095524E">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6A1089">
        <w:rPr>
          <w:rFonts w:ascii="Verdana" w:hAnsi="Verdana"/>
          <w:sz w:val="20"/>
        </w:rPr>
        <w:t xml:space="preserve"> </w:t>
      </w:r>
      <w:r>
        <w:rPr>
          <w:rFonts w:ascii="Verdana" w:hAnsi="Verdana"/>
          <w:sz w:val="20"/>
        </w:rPr>
        <w:t>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95524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95524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r>
      <w:r>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95524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95524E">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95524E">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95524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Default="00BA5498" w:rsidP="0095524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BA5498" w:rsidRDefault="00BA5498" w:rsidP="0095524E">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BA5498" w:rsidRDefault="00BA5498" w:rsidP="0095524E">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BA5498" w:rsidRDefault="00BA5498" w:rsidP="0095524E">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95524E">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95524E">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95524E">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95524E">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95524E">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95524E">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Pr>
          <w:rFonts w:ascii="Verdana" w:hAnsi="Verdana"/>
          <w:color w:val="000000"/>
          <w:lang w:val="pl-PL"/>
        </w:rPr>
        <w:lastRenderedPageBreak/>
        <w:t xml:space="preserve">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95524E">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95524E">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95524E">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95524E">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95524E">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95524E">
      <w:pPr>
        <w:widowControl w:val="0"/>
        <w:numPr>
          <w:ilvl w:val="0"/>
          <w:numId w:val="9"/>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17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95524E">
      <w:pPr>
        <w:numPr>
          <w:ilvl w:val="0"/>
          <w:numId w:val="11"/>
        </w:numPr>
        <w:ind w:left="284" w:hanging="284"/>
        <w:jc w:val="both"/>
        <w:rPr>
          <w:rFonts w:ascii="Verdana" w:hAnsi="Verdana"/>
          <w:bCs/>
          <w:lang w:val="pl-PL" w:eastAsia="en-US"/>
        </w:rPr>
      </w:pPr>
      <w:r>
        <w:rPr>
          <w:rFonts w:ascii="Verdana" w:hAnsi="Verdana"/>
          <w:lang w:val="pl-PL"/>
        </w:rPr>
        <w:t xml:space="preserve">Sprzedawca udziela ……. miesięcznej gwarancji </w:t>
      </w:r>
      <w:r w:rsidR="002349DD">
        <w:rPr>
          <w:rFonts w:ascii="Verdana" w:hAnsi="Verdana"/>
          <w:lang w:val="pl-PL"/>
        </w:rPr>
        <w:t>producenta</w:t>
      </w:r>
      <w:r>
        <w:rPr>
          <w:rFonts w:ascii="Verdana" w:hAnsi="Verdana"/>
          <w:lang w:val="pl-PL"/>
        </w:rPr>
        <w:t xml:space="preserve"> na urządzenie będące przedmiotem niniejszej umowy, przy czym uprawnienia z tytułu rękojmi nie zostają wyłączone. Okres gwarancji liczy się od daty podpisania bezusterkowego protokołu zdawczo-odbiorczego. </w:t>
      </w:r>
    </w:p>
    <w:p w:rsidR="00BA5498" w:rsidRDefault="00BA5498" w:rsidP="0095524E">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w:t>
      </w:r>
      <w:r>
        <w:rPr>
          <w:rFonts w:ascii="Verdana" w:hAnsi="Verdana"/>
          <w:bCs/>
          <w:lang w:val="pl-PL" w:eastAsia="en-US"/>
        </w:rPr>
        <w:lastRenderedPageBreak/>
        <w:t>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95524E">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2349DD" w:rsidRDefault="002349DD" w:rsidP="0095524E">
      <w:pPr>
        <w:numPr>
          <w:ilvl w:val="1"/>
          <w:numId w:val="9"/>
        </w:numPr>
        <w:jc w:val="both"/>
        <w:rPr>
          <w:rFonts w:ascii="Verdana" w:hAnsi="Verdana"/>
          <w:bCs/>
          <w:lang w:val="pl-PL" w:eastAsia="en-US"/>
        </w:rPr>
      </w:pPr>
      <w:r w:rsidRPr="002349DD">
        <w:rPr>
          <w:rFonts w:ascii="Verdana" w:hAnsi="Verdana"/>
          <w:bCs/>
          <w:lang w:val="pl-PL" w:eastAsia="en-US"/>
        </w:rPr>
        <w:t xml:space="preserve">Gwarancja obejmuje nieodpłatną naprawę lub wymianę wszystkich części i podzespołów tak, aby zapewnić pełną funkcjonalność wielofunkcyjnego robota i zachowanie przez niego wymaganych tą specyfikacją parametrów przez cały okres trwania gwarancji. Gwarancja musi obejmować koszty dojazdu i godzin pracy wykwalifikowanego personelu. Gwarancja obejmuje wszelkie przeglądy i prace konserwacyjne, co najmniej w zakresie zalecanym przez producentów wielofunkcyjnego robota i oprzyrządowania, które jest niezbędne dla zapewnienia pełnej funkcjonalności wielofunkcyjnego robota i zachowania przez niego wymaganych tą specyfikacją parametrów przez cały okres trwania gwarancji, przy czym przeglądy nie mogą odbywać się rzadziej, niż raz w roku, pod koniec każdego roku eksploatacji. </w:t>
      </w:r>
    </w:p>
    <w:p w:rsidR="002349DD" w:rsidRDefault="002349DD" w:rsidP="0095524E">
      <w:pPr>
        <w:numPr>
          <w:ilvl w:val="1"/>
          <w:numId w:val="9"/>
        </w:numPr>
        <w:jc w:val="both"/>
        <w:rPr>
          <w:rFonts w:ascii="Verdana" w:hAnsi="Verdana"/>
          <w:bCs/>
          <w:lang w:val="pl-PL" w:eastAsia="en-US"/>
        </w:rPr>
      </w:pPr>
      <w:r w:rsidRPr="002349DD">
        <w:rPr>
          <w:rFonts w:ascii="Verdana" w:hAnsi="Verdana"/>
          <w:bCs/>
          <w:lang w:val="pl-PL" w:eastAsia="en-US"/>
        </w:rPr>
        <w:t xml:space="preserve">Czas reakcji serwisu dla wielofunkcyjnego robota wraz z całym oprzyrządowaniem w okresie gwarancyjnym w ciągu maks. 48 godzin od chwili zgłoszenia usterki. </w:t>
      </w:r>
    </w:p>
    <w:p w:rsidR="002349DD" w:rsidRDefault="002349DD" w:rsidP="0095524E">
      <w:pPr>
        <w:numPr>
          <w:ilvl w:val="1"/>
          <w:numId w:val="9"/>
        </w:numPr>
        <w:jc w:val="both"/>
        <w:rPr>
          <w:rFonts w:ascii="Verdana" w:hAnsi="Verdana"/>
          <w:bCs/>
          <w:lang w:val="pl-PL" w:eastAsia="en-US"/>
        </w:rPr>
      </w:pPr>
      <w:r>
        <w:rPr>
          <w:rFonts w:ascii="Verdana" w:hAnsi="Verdana"/>
          <w:bCs/>
          <w:lang w:val="pl-PL" w:eastAsia="en-US"/>
        </w:rPr>
        <w:t>c</w:t>
      </w:r>
      <w:r w:rsidRPr="002349DD">
        <w:rPr>
          <w:rFonts w:ascii="Verdana" w:hAnsi="Verdana"/>
          <w:bCs/>
          <w:lang w:val="pl-PL" w:eastAsia="en-US"/>
        </w:rPr>
        <w:t xml:space="preserve">zas wykonania naprawy gwarancyjnej w ciągu maks. 14 dni roboczych od dnia zgłoszenia awarii lub w ciągu maks. 45 dni w przypadku konieczności sprowadzenia podzespołów. </w:t>
      </w:r>
    </w:p>
    <w:p w:rsidR="002349DD" w:rsidRPr="002349DD" w:rsidRDefault="002349DD" w:rsidP="0095524E">
      <w:pPr>
        <w:numPr>
          <w:ilvl w:val="1"/>
          <w:numId w:val="9"/>
        </w:numPr>
        <w:jc w:val="both"/>
        <w:rPr>
          <w:rFonts w:ascii="Verdana" w:hAnsi="Verdana"/>
          <w:bCs/>
          <w:lang w:val="pl-PL" w:eastAsia="en-US"/>
        </w:rPr>
      </w:pPr>
      <w:r w:rsidRPr="002349DD">
        <w:rPr>
          <w:rFonts w:ascii="Verdana" w:hAnsi="Verdana"/>
          <w:bCs/>
          <w:lang w:val="pl-PL" w:eastAsia="en-US"/>
        </w:rPr>
        <w:t>W razie wymiany uszkodzonego podzespołu jego gwarancja będzie wynosiła 12 miesięcy lub do końca okresu gwarancji na całe urządzenie w zależności, co wystąpi później. Wymagane jest przedłużenie gwarancji o czas niezbędny do wykonania naprawy. Dostępność części zamiennych przez minimum 10 lat.</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95524E">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95524E">
      <w:pPr>
        <w:numPr>
          <w:ilvl w:val="0"/>
          <w:numId w:val="11"/>
        </w:numPr>
        <w:ind w:left="284" w:hanging="284"/>
        <w:jc w:val="both"/>
        <w:rPr>
          <w:rFonts w:ascii="Verdana" w:hAnsi="Verdana"/>
          <w:bCs/>
          <w:lang w:val="pl-PL" w:eastAsia="en-US"/>
        </w:rPr>
      </w:pPr>
      <w:r>
        <w:rPr>
          <w:rFonts w:ascii="Verdana" w:hAnsi="Verdana"/>
          <w:bCs/>
          <w:lang w:val="pl-PL" w:eastAsia="en-US"/>
        </w:rPr>
        <w:lastRenderedPageBreak/>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95524E">
      <w:pPr>
        <w:numPr>
          <w:ilvl w:val="0"/>
          <w:numId w:val="11"/>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95524E">
      <w:pPr>
        <w:numPr>
          <w:ilvl w:val="0"/>
          <w:numId w:val="11"/>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95524E">
      <w:pPr>
        <w:numPr>
          <w:ilvl w:val="0"/>
          <w:numId w:val="11"/>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95524E">
      <w:pPr>
        <w:numPr>
          <w:ilvl w:val="0"/>
          <w:numId w:val="11"/>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2349DD">
      <w:pPr>
        <w:ind w:right="-47"/>
        <w:jc w:val="center"/>
        <w:rPr>
          <w:rFonts w:ascii="Verdana" w:hAnsi="Verdana"/>
          <w:b/>
        </w:rPr>
      </w:pPr>
      <w:r>
        <w:rPr>
          <w:rFonts w:ascii="Verdana" w:hAnsi="Verdana"/>
          <w:b/>
        </w:rPr>
        <w:t>§ 10</w:t>
      </w:r>
    </w:p>
    <w:p w:rsidR="00BA5498" w:rsidRDefault="00BA5498" w:rsidP="0095524E">
      <w:pPr>
        <w:numPr>
          <w:ilvl w:val="0"/>
          <w:numId w:val="12"/>
        </w:num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95524E">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95524E">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2349DD">
      <w:pPr>
        <w:tabs>
          <w:tab w:val="left" w:pos="387"/>
        </w:tabs>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3" w:name="_Hlk93992905"/>
      <w:r>
        <w:rPr>
          <w:rFonts w:ascii="Verdana" w:hAnsi="Verdana"/>
          <w:b/>
          <w:bCs/>
          <w:sz w:val="20"/>
        </w:rPr>
        <w:t>§ 11</w:t>
      </w:r>
    </w:p>
    <w:bookmarkEnd w:id="3"/>
    <w:p w:rsidR="00BA5498"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95524E">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w:t>
      </w:r>
      <w:r>
        <w:rPr>
          <w:rFonts w:ascii="Verdana" w:eastAsia="Lucida Sans Unicode" w:hAnsi="Verdana" w:cs="Times New Roman"/>
          <w:sz w:val="20"/>
          <w:szCs w:val="20"/>
          <w:lang w:eastAsia="ar-SA"/>
        </w:rPr>
        <w:lastRenderedPageBreak/>
        <w:t xml:space="preserve">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95524E">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95524E">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95524E">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95524E">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95524E">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95524E">
      <w:pPr>
        <w:numPr>
          <w:ilvl w:val="0"/>
          <w:numId w:val="17"/>
        </w:numPr>
        <w:suppressAutoHyphens/>
        <w:autoSpaceDN w:val="0"/>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2349DD">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rsidR="00BA5498" w:rsidRDefault="00BA5498" w:rsidP="0095524E">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95524E">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95524E">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95524E">
      <w:pPr>
        <w:numPr>
          <w:ilvl w:val="0"/>
          <w:numId w:val="17"/>
        </w:numPr>
        <w:suppressAutoHyphens/>
        <w:autoSpaceDN w:val="0"/>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95524E">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95524E">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bookmarkStart w:id="5" w:name="_Hlk123541345"/>
      <w:r>
        <w:rPr>
          <w:rFonts w:ascii="Verdana" w:eastAsia="SimSun" w:hAnsi="Verdana"/>
          <w:b/>
          <w:bCs/>
          <w:color w:val="000000"/>
          <w:kern w:val="2"/>
        </w:rPr>
        <w:t>§ 13</w:t>
      </w:r>
      <w:r w:rsidR="002F615C">
        <w:rPr>
          <w:rFonts w:ascii="Verdana" w:eastAsia="SimSun" w:hAnsi="Verdana"/>
          <w:b/>
          <w:bCs/>
          <w:color w:val="000000"/>
          <w:kern w:val="2"/>
        </w:rPr>
        <w:t>*</w:t>
      </w:r>
    </w:p>
    <w:bookmarkEnd w:id="5"/>
    <w:p w:rsidR="0095524E" w:rsidRPr="0095524E" w:rsidRDefault="0095524E" w:rsidP="0095524E">
      <w:pPr>
        <w:pStyle w:val="Akapitzlist"/>
        <w:numPr>
          <w:ilvl w:val="0"/>
          <w:numId w:val="23"/>
        </w:numPr>
        <w:jc w:val="both"/>
        <w:rPr>
          <w:rFonts w:ascii="Verdana" w:hAnsi="Verdana"/>
          <w:lang w:val="pl-PL"/>
        </w:rPr>
      </w:pPr>
      <w:r w:rsidRPr="0095524E">
        <w:rPr>
          <w:rFonts w:ascii="Verdana" w:hAnsi="Verdana"/>
          <w:lang w:val="pl-PL"/>
        </w:rPr>
        <w:t xml:space="preserve">Strony przewidują możliwość zmiany poziomu maksymalnego wynagrodzenia, o którym mowa w </w:t>
      </w:r>
      <w:r w:rsidRPr="0095524E">
        <w:rPr>
          <w:rFonts w:ascii="Verdana" w:eastAsia="SimSun" w:hAnsi="Verdana"/>
          <w:bCs/>
          <w:color w:val="000000"/>
          <w:kern w:val="2"/>
        </w:rPr>
        <w:t>§ 3 ust.4</w:t>
      </w:r>
      <w:r w:rsidRPr="0095524E">
        <w:rPr>
          <w:rFonts w:ascii="Verdana" w:hAnsi="Verdana"/>
          <w:lang w:val="pl-PL"/>
        </w:rPr>
        <w:t xml:space="preserve"> Umowy  w związku ze zmianami cen materiałów lub kosztów związanych z realizacją przedmiotu umowy jeżeli zmiany te będą miały wpływ na koszt wykonania Umowy (dalej jako waloryzacja wynagrodzenia), z zastrzeżeniem, że:</w:t>
      </w:r>
    </w:p>
    <w:p w:rsidR="0095524E" w:rsidRPr="0095524E" w:rsidRDefault="0095524E" w:rsidP="0095524E">
      <w:pPr>
        <w:pStyle w:val="Akapitzlist"/>
        <w:numPr>
          <w:ilvl w:val="0"/>
          <w:numId w:val="24"/>
        </w:numPr>
        <w:jc w:val="both"/>
        <w:rPr>
          <w:rFonts w:ascii="Verdana" w:hAnsi="Verdana"/>
          <w:lang w:val="pl-PL"/>
        </w:rPr>
      </w:pPr>
      <w:r w:rsidRPr="0095524E">
        <w:rPr>
          <w:rFonts w:ascii="Verdana" w:hAnsi="Verdana"/>
          <w:lang w:val="pl-PL"/>
        </w:rPr>
        <w:t>przez zmianę wysokości wynagrodzenia rozumie się jego podwyższenie, jak i obniżenie;</w:t>
      </w:r>
    </w:p>
    <w:p w:rsidR="0095524E" w:rsidRPr="0095524E" w:rsidRDefault="0095524E" w:rsidP="0095524E">
      <w:pPr>
        <w:numPr>
          <w:ilvl w:val="0"/>
          <w:numId w:val="24"/>
        </w:numPr>
        <w:jc w:val="both"/>
        <w:rPr>
          <w:rFonts w:ascii="Verdana" w:hAnsi="Verdana"/>
          <w:lang w:val="pl-PL"/>
        </w:rPr>
      </w:pPr>
      <w:r w:rsidRPr="0095524E">
        <w:rPr>
          <w:rFonts w:ascii="Verdana" w:hAnsi="Verdana"/>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95524E" w:rsidRPr="0095524E" w:rsidRDefault="0095524E" w:rsidP="0095524E">
      <w:pPr>
        <w:pStyle w:val="Akapitzlist"/>
        <w:numPr>
          <w:ilvl w:val="0"/>
          <w:numId w:val="24"/>
        </w:numPr>
        <w:jc w:val="both"/>
        <w:rPr>
          <w:rFonts w:ascii="Verdana" w:hAnsi="Verdana"/>
          <w:lang w:val="pl-PL"/>
        </w:rPr>
      </w:pPr>
      <w:r w:rsidRPr="0095524E">
        <w:rPr>
          <w:rFonts w:ascii="Verdana" w:hAnsi="Verdana"/>
          <w:lang w:val="pl-PL"/>
        </w:rPr>
        <w:t>pierwsza waloryzacja wynagrodzenia wykonawcy w oparciu o  wskaźnik podany w lit. b)  może zostać dokonana po upływie 6 pełnych miesięcy obowiązywania umowy, a każda następna po upływie kolejnych 6 pełnych miesięcy,</w:t>
      </w:r>
    </w:p>
    <w:p w:rsidR="0095524E" w:rsidRPr="0095524E" w:rsidRDefault="0095524E" w:rsidP="0095524E">
      <w:pPr>
        <w:pStyle w:val="Akapitzlist"/>
        <w:numPr>
          <w:ilvl w:val="0"/>
          <w:numId w:val="24"/>
        </w:numPr>
        <w:jc w:val="both"/>
        <w:rPr>
          <w:rFonts w:ascii="Verdana" w:hAnsi="Verdana"/>
          <w:lang w:val="pl-PL"/>
        </w:rPr>
      </w:pPr>
      <w:r w:rsidRPr="0095524E">
        <w:rPr>
          <w:rFonts w:ascii="Verdana" w:hAnsi="Verdana"/>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95524E" w:rsidRPr="0095524E" w:rsidRDefault="0095524E" w:rsidP="0095524E">
      <w:pPr>
        <w:pStyle w:val="Akapitzlist"/>
        <w:numPr>
          <w:ilvl w:val="0"/>
          <w:numId w:val="24"/>
        </w:numPr>
        <w:jc w:val="both"/>
        <w:rPr>
          <w:rFonts w:ascii="Verdana" w:hAnsi="Verdana"/>
          <w:lang w:val="pl-PL"/>
        </w:rPr>
      </w:pPr>
      <w:r w:rsidRPr="0095524E">
        <w:rPr>
          <w:rFonts w:ascii="Verdana" w:hAnsi="Verdana"/>
          <w:lang w:val="pl-PL"/>
        </w:rPr>
        <w:t xml:space="preserve">łączna maksymalna wartość zmiany wynagrodzenia w efekcie zastosowania postanowień dotyczących w/w waloryzacji, nie może prze kroczyć  5 %  wysokości wynagrodzenia wykonawcy, o którym mowa w </w:t>
      </w:r>
      <w:r w:rsidRPr="0095524E">
        <w:rPr>
          <w:rFonts w:ascii="Verdana" w:eastAsia="SimSun" w:hAnsi="Verdana"/>
          <w:bCs/>
          <w:color w:val="000000"/>
          <w:kern w:val="2"/>
        </w:rPr>
        <w:t>§ 3 ust.4</w:t>
      </w:r>
      <w:r w:rsidRPr="0095524E">
        <w:rPr>
          <w:rFonts w:ascii="Verdana" w:hAnsi="Verdana"/>
          <w:lang w:val="pl-PL"/>
        </w:rPr>
        <w:t xml:space="preserve"> Umowy  </w:t>
      </w:r>
    </w:p>
    <w:p w:rsidR="0095524E" w:rsidRPr="0095524E" w:rsidRDefault="0095524E" w:rsidP="0095524E">
      <w:pPr>
        <w:pStyle w:val="Akapitzlist"/>
        <w:numPr>
          <w:ilvl w:val="0"/>
          <w:numId w:val="23"/>
        </w:numPr>
        <w:rPr>
          <w:rFonts w:ascii="Verdana" w:hAnsi="Verdana"/>
          <w:lang w:val="pl-PL"/>
        </w:rPr>
      </w:pPr>
      <w:r w:rsidRPr="0095524E">
        <w:rPr>
          <w:rFonts w:ascii="Verdana" w:hAnsi="Verdana"/>
          <w:lang w:val="pl-PL"/>
        </w:rPr>
        <w:t>Zmiana wynagrodzenia, może zostać wprowadzona na wniosek Stron, zgodnie z poniższymi zasadami:</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t xml:space="preserve">waloryzacja wynagrodzenia Wykonawcy będzie dotyczyła tylko niezrealizowanej części zamówienia, </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95524E" w:rsidRPr="0095524E" w:rsidRDefault="0095524E" w:rsidP="0095524E">
      <w:pPr>
        <w:pStyle w:val="Akapitzlist"/>
        <w:numPr>
          <w:ilvl w:val="0"/>
          <w:numId w:val="25"/>
        </w:numPr>
        <w:jc w:val="both"/>
        <w:rPr>
          <w:rFonts w:ascii="Verdana" w:hAnsi="Verdana"/>
          <w:lang w:val="pl-PL"/>
        </w:rPr>
      </w:pPr>
      <w:r w:rsidRPr="0095524E">
        <w:rPr>
          <w:rFonts w:ascii="Verdana" w:hAnsi="Verdana"/>
          <w:lang w:val="pl-PL"/>
        </w:rPr>
        <w:lastRenderedPageBreak/>
        <w:t xml:space="preserve">W przypadku wniosku  złożonego przez Zamawiającego, Zamawiający wskazuje wielkość procentową obniżenia wynagrodzenia, nieprzekraczającą wielkości przyjętego wskaźnika. </w:t>
      </w:r>
    </w:p>
    <w:p w:rsidR="0095524E" w:rsidRPr="0095524E" w:rsidRDefault="0095524E" w:rsidP="0095524E">
      <w:pPr>
        <w:pStyle w:val="Akapitzlist"/>
        <w:jc w:val="both"/>
        <w:rPr>
          <w:rFonts w:ascii="Verdana" w:hAnsi="Verdana"/>
          <w:lang w:val="pl-PL"/>
        </w:rPr>
      </w:pPr>
      <w:r w:rsidRPr="0095524E">
        <w:rPr>
          <w:rFonts w:ascii="Verdana" w:hAnsi="Verdana"/>
          <w:lang w:val="pl-PL"/>
        </w:rPr>
        <w:t>Wykonawca, w terminie 14 dni od dnia złożenia wniosku, dokona jego oceny i podejmie decyzję o ewentualnej zmianie wysokości wynagrodzenia lub  odmówi wprowadzania zmiany, przedstawiając swoje stanowisko.</w:t>
      </w:r>
    </w:p>
    <w:p w:rsidR="0095524E" w:rsidRPr="0095524E" w:rsidRDefault="0095524E" w:rsidP="0095524E">
      <w:pPr>
        <w:pStyle w:val="Akapitzlist"/>
        <w:numPr>
          <w:ilvl w:val="0"/>
          <w:numId w:val="23"/>
        </w:numPr>
        <w:jc w:val="both"/>
        <w:rPr>
          <w:rFonts w:ascii="Verdana" w:hAnsi="Verdana"/>
          <w:lang w:val="pl-PL"/>
        </w:rPr>
      </w:pPr>
      <w:r w:rsidRPr="0095524E">
        <w:rPr>
          <w:rFonts w:ascii="Verdana" w:hAnsi="Verdana"/>
          <w:lang w:val="pl-PL"/>
        </w:rPr>
        <w:t>Wykonawca, którego wynagrodzenie zostało zmienione zgodnie z § 13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07022D" w:rsidRDefault="0007022D" w:rsidP="00BA5498">
      <w:pPr>
        <w:widowControl w:val="0"/>
        <w:suppressAutoHyphens/>
        <w:autoSpaceDN w:val="0"/>
        <w:ind w:left="360"/>
        <w:jc w:val="center"/>
        <w:textAlignment w:val="baseline"/>
        <w:rPr>
          <w:rFonts w:ascii="Verdana" w:eastAsia="SimSun" w:hAnsi="Verdana"/>
          <w:b/>
          <w:bCs/>
          <w:color w:val="000000"/>
          <w:kern w:val="2"/>
        </w:rPr>
      </w:pPr>
    </w:p>
    <w:p w:rsidR="002F615C" w:rsidRDefault="002F615C" w:rsidP="002F615C">
      <w:pPr>
        <w:widowControl w:val="0"/>
        <w:suppressAutoHyphens/>
        <w:autoSpaceDN w:val="0"/>
        <w:ind w:left="360"/>
        <w:textAlignment w:val="baseline"/>
        <w:rPr>
          <w:rFonts w:ascii="Verdana" w:eastAsia="SimSun" w:hAnsi="Verdana"/>
          <w:bCs/>
          <w:color w:val="000000"/>
          <w:kern w:val="2"/>
          <w:sz w:val="18"/>
          <w:szCs w:val="18"/>
          <w:lang w:val="pl-PL"/>
        </w:rPr>
      </w:pPr>
      <w:r w:rsidRPr="002F615C">
        <w:rPr>
          <w:rFonts w:ascii="Verdana" w:eastAsia="SimSun" w:hAnsi="Verdana"/>
          <w:bCs/>
          <w:color w:val="000000"/>
          <w:kern w:val="2"/>
          <w:sz w:val="18"/>
          <w:szCs w:val="18"/>
          <w:lang w:val="pl-PL"/>
        </w:rPr>
        <w:t>*dot.</w:t>
      </w:r>
      <w:r>
        <w:rPr>
          <w:rFonts w:ascii="Verdana" w:eastAsia="SimSun" w:hAnsi="Verdana"/>
          <w:bCs/>
          <w:color w:val="000000"/>
          <w:kern w:val="2"/>
          <w:sz w:val="18"/>
          <w:szCs w:val="18"/>
          <w:lang w:val="pl-PL"/>
        </w:rPr>
        <w:t xml:space="preserve"> </w:t>
      </w:r>
      <w:r w:rsidRPr="002F615C">
        <w:rPr>
          <w:rFonts w:ascii="Verdana" w:eastAsia="SimSun" w:hAnsi="Verdana"/>
          <w:bCs/>
          <w:color w:val="000000"/>
          <w:kern w:val="2"/>
          <w:sz w:val="18"/>
          <w:szCs w:val="18"/>
          <w:lang w:val="pl-PL"/>
        </w:rPr>
        <w:t>umów zawartych na okres powyżej 6 m-</w:t>
      </w:r>
      <w:proofErr w:type="spellStart"/>
      <w:r w:rsidRPr="002F615C">
        <w:rPr>
          <w:rFonts w:ascii="Verdana" w:eastAsia="SimSun" w:hAnsi="Verdana"/>
          <w:bCs/>
          <w:color w:val="000000"/>
          <w:kern w:val="2"/>
          <w:sz w:val="18"/>
          <w:szCs w:val="18"/>
          <w:lang w:val="pl-PL"/>
        </w:rPr>
        <w:t>cy</w:t>
      </w:r>
      <w:proofErr w:type="spellEnd"/>
      <w:r w:rsidRPr="002F615C">
        <w:rPr>
          <w:rFonts w:ascii="Verdana" w:eastAsia="SimSun" w:hAnsi="Verdana"/>
          <w:bCs/>
          <w:color w:val="000000"/>
          <w:kern w:val="2"/>
          <w:sz w:val="18"/>
          <w:szCs w:val="18"/>
          <w:lang w:val="pl-PL"/>
        </w:rPr>
        <w:t>.</w:t>
      </w:r>
    </w:p>
    <w:p w:rsidR="002F615C" w:rsidRPr="002F615C" w:rsidRDefault="002F615C" w:rsidP="002F615C">
      <w:pPr>
        <w:widowControl w:val="0"/>
        <w:suppressAutoHyphens/>
        <w:autoSpaceDN w:val="0"/>
        <w:ind w:left="360"/>
        <w:textAlignment w:val="baseline"/>
        <w:rPr>
          <w:rFonts w:ascii="Verdana" w:eastAsia="SimSun" w:hAnsi="Verdana"/>
          <w:bCs/>
          <w:color w:val="000000"/>
          <w:kern w:val="2"/>
          <w:sz w:val="18"/>
          <w:szCs w:val="18"/>
          <w:lang w:val="pl-PL"/>
        </w:rPr>
      </w:pPr>
      <w:bookmarkStart w:id="6" w:name="_GoBack"/>
      <w:bookmarkEnd w:id="6"/>
    </w:p>
    <w:p w:rsidR="0095524E" w:rsidRDefault="0095524E" w:rsidP="0095524E">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14</w:t>
      </w:r>
    </w:p>
    <w:p w:rsidR="00BA5498" w:rsidRDefault="00BA5498" w:rsidP="0095524E">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95524E">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95524E">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95524E">
      <w:pPr>
        <w:numPr>
          <w:ilvl w:val="0"/>
          <w:numId w:val="18"/>
        </w:numPr>
        <w:suppressAutoHyphens/>
        <w:autoSpaceDN w:val="0"/>
        <w:ind w:left="357" w:hanging="357"/>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5524E">
        <w:rPr>
          <w:rFonts w:ascii="Verdana" w:hAnsi="Verdana"/>
          <w:b/>
          <w:sz w:val="20"/>
        </w:rPr>
        <w:t>5</w:t>
      </w:r>
    </w:p>
    <w:p w:rsidR="00BA5498"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95524E">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95524E">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95524E">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5524E">
        <w:rPr>
          <w:rFonts w:ascii="Verdana" w:hAnsi="Verdana"/>
          <w:b/>
          <w:sz w:val="20"/>
        </w:rPr>
        <w:t>6</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95524E">
        <w:rPr>
          <w:rFonts w:ascii="Verdana" w:hAnsi="Verdana"/>
          <w:b/>
          <w:lang w:val="pl-PL"/>
        </w:rPr>
        <w:t>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5524E">
        <w:rPr>
          <w:rFonts w:ascii="Verdana" w:hAnsi="Verdana"/>
          <w:b/>
          <w:sz w:val="20"/>
        </w:rPr>
        <w:t>8</w:t>
      </w:r>
    </w:p>
    <w:p w:rsidR="00BA5498" w:rsidRDefault="00BA5498" w:rsidP="00BA5498">
      <w:pPr>
        <w:pStyle w:val="Tekstpodstawowy"/>
        <w:spacing w:line="240" w:lineRule="auto"/>
        <w:ind w:right="-47"/>
        <w:jc w:val="both"/>
        <w:rPr>
          <w:rFonts w:ascii="Verdana" w:hAnsi="Verdana"/>
          <w:sz w:val="20"/>
        </w:rPr>
      </w:pPr>
      <w:r>
        <w:rPr>
          <w:rFonts w:ascii="Verdana" w:hAnsi="Verdana"/>
          <w:sz w:val="20"/>
        </w:rPr>
        <w:lastRenderedPageBreak/>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5524E">
        <w:rPr>
          <w:rFonts w:ascii="Verdana" w:hAnsi="Verdana"/>
          <w:b/>
          <w:sz w:val="20"/>
        </w:rPr>
        <w:t>9</w:t>
      </w:r>
    </w:p>
    <w:p w:rsidR="00BA5498" w:rsidRDefault="00BA5498" w:rsidP="0095524E">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w:t>
      </w:r>
      <w:r w:rsidR="0095524E">
        <w:rPr>
          <w:rFonts w:ascii="Verdana" w:hAnsi="Verdana"/>
          <w:b/>
          <w:sz w:val="20"/>
        </w:rPr>
        <w:t>20</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95524E">
      <w:pPr>
        <w:widowControl w:val="0"/>
        <w:numPr>
          <w:ilvl w:val="0"/>
          <w:numId w:val="19"/>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95524E">
      <w:pPr>
        <w:widowControl w:val="0"/>
        <w:numPr>
          <w:ilvl w:val="0"/>
          <w:numId w:val="19"/>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11EC" w:rsidRDefault="007211EC">
      <w:r>
        <w:separator/>
      </w:r>
    </w:p>
  </w:endnote>
  <w:endnote w:type="continuationSeparator" w:id="0">
    <w:p w:rsidR="007211EC" w:rsidRDefault="0072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11EC" w:rsidRDefault="007211EC">
      <w:r>
        <w:separator/>
      </w:r>
    </w:p>
  </w:footnote>
  <w:footnote w:type="continuationSeparator" w:id="0">
    <w:p w:rsidR="007211EC" w:rsidRDefault="007211EC">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9552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9552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9552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9552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9552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9552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9552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9552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9552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9552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409" w:rsidRDefault="00C524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11EC"/>
    <w:rsid w:val="000033EA"/>
    <w:rsid w:val="0002467C"/>
    <w:rsid w:val="00040A7A"/>
    <w:rsid w:val="0007022D"/>
    <w:rsid w:val="000936CA"/>
    <w:rsid w:val="00097182"/>
    <w:rsid w:val="000B1A00"/>
    <w:rsid w:val="000C0F66"/>
    <w:rsid w:val="001764D4"/>
    <w:rsid w:val="001F341B"/>
    <w:rsid w:val="002349DD"/>
    <w:rsid w:val="002430FD"/>
    <w:rsid w:val="00267340"/>
    <w:rsid w:val="00275C59"/>
    <w:rsid w:val="002F615C"/>
    <w:rsid w:val="00337165"/>
    <w:rsid w:val="003974EB"/>
    <w:rsid w:val="003C6167"/>
    <w:rsid w:val="003F1749"/>
    <w:rsid w:val="0046027E"/>
    <w:rsid w:val="00496551"/>
    <w:rsid w:val="004A692C"/>
    <w:rsid w:val="004C4EC3"/>
    <w:rsid w:val="00512FD2"/>
    <w:rsid w:val="00523F87"/>
    <w:rsid w:val="00593CEB"/>
    <w:rsid w:val="005C6D38"/>
    <w:rsid w:val="005D2104"/>
    <w:rsid w:val="00614C95"/>
    <w:rsid w:val="00660027"/>
    <w:rsid w:val="0069339E"/>
    <w:rsid w:val="006A1089"/>
    <w:rsid w:val="006F51B5"/>
    <w:rsid w:val="006F7905"/>
    <w:rsid w:val="00714F51"/>
    <w:rsid w:val="007211EC"/>
    <w:rsid w:val="00731F6E"/>
    <w:rsid w:val="007A2EF1"/>
    <w:rsid w:val="007B00D4"/>
    <w:rsid w:val="007D703B"/>
    <w:rsid w:val="00800261"/>
    <w:rsid w:val="00841B63"/>
    <w:rsid w:val="0086736E"/>
    <w:rsid w:val="008D3AF3"/>
    <w:rsid w:val="008E0730"/>
    <w:rsid w:val="0092337E"/>
    <w:rsid w:val="0092730E"/>
    <w:rsid w:val="0095524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C45B2"/>
    <w:rsid w:val="00BD0C12"/>
    <w:rsid w:val="00BD5E3D"/>
    <w:rsid w:val="00C07E7C"/>
    <w:rsid w:val="00C12A61"/>
    <w:rsid w:val="00C14141"/>
    <w:rsid w:val="00C2196F"/>
    <w:rsid w:val="00C23E95"/>
    <w:rsid w:val="00C52409"/>
    <w:rsid w:val="00C74D2A"/>
    <w:rsid w:val="00C923E8"/>
    <w:rsid w:val="00C93478"/>
    <w:rsid w:val="00CD12B0"/>
    <w:rsid w:val="00CF0F5B"/>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2AB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19687"/>
  <w15:chartTrackingRefBased/>
  <w15:docId w15:val="{3FE45B71-BD8E-4DB6-A9BF-7D072F39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95524E"/>
    <w:rPr>
      <w:lang w:val="en-US"/>
    </w:rPr>
  </w:style>
  <w:style w:type="paragraph" w:styleId="Tekstdymka">
    <w:name w:val="Balloon Text"/>
    <w:basedOn w:val="Normalny"/>
    <w:link w:val="TekstdymkaZnak"/>
    <w:uiPriority w:val="99"/>
    <w:semiHidden/>
    <w:unhideWhenUsed/>
    <w:rsid w:val="00F12AB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2AB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02721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3631440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32</TotalTime>
  <Pages>11</Pages>
  <Words>3988</Words>
  <Characters>26381</Characters>
  <Application>Microsoft Office Word</Application>
  <DocSecurity>0</DocSecurity>
  <Lines>219</Lines>
  <Paragraphs>60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30309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10</cp:revision>
  <cp:lastPrinted>2023-01-02T10:44:00Z</cp:lastPrinted>
  <dcterms:created xsi:type="dcterms:W3CDTF">2023-01-02T07:20:00Z</dcterms:created>
  <dcterms:modified xsi:type="dcterms:W3CDTF">2023-01-02T11:17:00Z</dcterms:modified>
</cp:coreProperties>
</file>