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534F1A4B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3620A0" w:rsidRPr="003620A0">
        <w:rPr>
          <w:rFonts w:asciiTheme="minorHAnsi" w:hAnsiTheme="minorHAnsi" w:cstheme="minorHAnsi"/>
          <w:b/>
        </w:rPr>
        <w:t>dostawa elektrycznego precyzyjnego generatora pary stanowiącego niezbędną aparaturę do uruchomienia prototypowej instalacji do badania procesów zachodzących w skraplaczach natryskowych - KC-zp.272-</w:t>
      </w:r>
      <w:r w:rsidR="00D60360">
        <w:rPr>
          <w:rFonts w:asciiTheme="minorHAnsi" w:hAnsiTheme="minorHAnsi" w:cstheme="minorHAnsi"/>
          <w:b/>
        </w:rPr>
        <w:t>547</w:t>
      </w:r>
      <w:r w:rsidR="003620A0" w:rsidRPr="003620A0">
        <w:rPr>
          <w:rFonts w:asciiTheme="minorHAnsi" w:hAnsiTheme="minorHAnsi" w:cstheme="minorHAnsi"/>
          <w:b/>
        </w:rPr>
        <w:t>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</w:t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 xml:space="preserve">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504F2" w14:textId="77777777" w:rsidR="002372DB" w:rsidRDefault="002372DB" w:rsidP="0038231F">
      <w:pPr>
        <w:spacing w:after="0" w:line="240" w:lineRule="auto"/>
      </w:pPr>
      <w:r>
        <w:separator/>
      </w:r>
    </w:p>
  </w:endnote>
  <w:endnote w:type="continuationSeparator" w:id="0">
    <w:p w14:paraId="2FE9A6E8" w14:textId="77777777" w:rsidR="002372DB" w:rsidRDefault="00237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6B5A7" w14:textId="77777777" w:rsidR="002372DB" w:rsidRDefault="002372DB" w:rsidP="0038231F">
      <w:pPr>
        <w:spacing w:after="0" w:line="240" w:lineRule="auto"/>
      </w:pPr>
      <w:r>
        <w:separator/>
      </w:r>
    </w:p>
  </w:footnote>
  <w:footnote w:type="continuationSeparator" w:id="0">
    <w:p w14:paraId="06BE92F4" w14:textId="77777777" w:rsidR="002372DB" w:rsidRDefault="002372D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20A0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60360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2022-08-30T09:08:00Z</dcterms:created>
  <dcterms:modified xsi:type="dcterms:W3CDTF">2022-08-30T09:08:00Z</dcterms:modified>
</cp:coreProperties>
</file>