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80" w:rsidRPr="008E3C91" w:rsidRDefault="009B49A8" w:rsidP="008E3C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3C91">
        <w:rPr>
          <w:rFonts w:ascii="Arial" w:hAnsi="Arial" w:cs="Arial"/>
          <w:b/>
          <w:sz w:val="24"/>
          <w:szCs w:val="24"/>
        </w:rPr>
        <w:t>RK-NZ.261.</w:t>
      </w:r>
      <w:r w:rsidR="008E3C91" w:rsidRPr="008E3C91">
        <w:rPr>
          <w:rFonts w:ascii="Arial" w:hAnsi="Arial" w:cs="Arial"/>
          <w:b/>
          <w:sz w:val="24"/>
          <w:szCs w:val="24"/>
        </w:rPr>
        <w:t>57</w:t>
      </w:r>
      <w:r w:rsidR="00772B80" w:rsidRPr="008E3C91">
        <w:rPr>
          <w:rFonts w:ascii="Arial" w:hAnsi="Arial" w:cs="Arial"/>
          <w:b/>
          <w:sz w:val="24"/>
          <w:szCs w:val="24"/>
        </w:rPr>
        <w:t xml:space="preserve">.2022.JP </w:t>
      </w:r>
    </w:p>
    <w:p w:rsidR="008B2C6E" w:rsidRPr="008E3C91" w:rsidRDefault="00112D69" w:rsidP="008E3C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3C91">
        <w:rPr>
          <w:rFonts w:ascii="Arial" w:hAnsi="Arial" w:cs="Arial"/>
          <w:b/>
          <w:sz w:val="24"/>
          <w:szCs w:val="24"/>
        </w:rPr>
        <w:t>Załącznik</w:t>
      </w:r>
      <w:r w:rsidR="001549B8" w:rsidRPr="008E3C91">
        <w:rPr>
          <w:rFonts w:ascii="Arial" w:hAnsi="Arial" w:cs="Arial"/>
          <w:b/>
          <w:sz w:val="24"/>
          <w:szCs w:val="24"/>
        </w:rPr>
        <w:t xml:space="preserve"> -</w:t>
      </w:r>
      <w:r w:rsidRPr="008E3C91">
        <w:rPr>
          <w:rFonts w:ascii="Arial" w:hAnsi="Arial" w:cs="Arial"/>
          <w:b/>
          <w:sz w:val="24"/>
          <w:szCs w:val="24"/>
        </w:rPr>
        <w:t xml:space="preserve"> Szczegółowy op</w:t>
      </w:r>
      <w:r w:rsidR="001A30AD" w:rsidRPr="008E3C91">
        <w:rPr>
          <w:rFonts w:ascii="Arial" w:hAnsi="Arial" w:cs="Arial"/>
          <w:b/>
          <w:sz w:val="24"/>
          <w:szCs w:val="24"/>
        </w:rPr>
        <w:t xml:space="preserve">is przedmiotu zamówienia </w:t>
      </w:r>
    </w:p>
    <w:p w:rsidR="001A30AD" w:rsidRPr="008E3C91" w:rsidRDefault="001A30AD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A30AD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E3C91">
        <w:rPr>
          <w:rFonts w:ascii="Arial" w:hAnsi="Arial" w:cs="Arial"/>
          <w:b/>
          <w:sz w:val="24"/>
          <w:szCs w:val="24"/>
          <w:u w:val="single"/>
        </w:rPr>
        <w:t xml:space="preserve">Zadanie 1. Serwer z urządzeniami oraz oprogramowaniem i </w:t>
      </w:r>
      <w:proofErr w:type="spellStart"/>
      <w:r w:rsidRPr="008E3C91">
        <w:rPr>
          <w:rFonts w:ascii="Arial" w:hAnsi="Arial" w:cs="Arial"/>
          <w:b/>
          <w:sz w:val="24"/>
          <w:szCs w:val="24"/>
          <w:u w:val="single"/>
        </w:rPr>
        <w:t>lecencjami</w:t>
      </w:r>
      <w:proofErr w:type="spellEnd"/>
      <w:r w:rsidRPr="008E3C91">
        <w:rPr>
          <w:rFonts w:ascii="Arial" w:hAnsi="Arial" w:cs="Arial"/>
          <w:b/>
          <w:sz w:val="24"/>
          <w:szCs w:val="24"/>
          <w:u w:val="single"/>
        </w:rPr>
        <w:t xml:space="preserve"> dla Katedry Inteligentnych Systemów Informatycznych</w:t>
      </w:r>
    </w:p>
    <w:p w:rsidR="008E3C91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E3C91">
        <w:rPr>
          <w:rFonts w:ascii="Arial" w:hAnsi="Arial" w:cs="Arial"/>
          <w:b/>
          <w:sz w:val="24"/>
          <w:szCs w:val="24"/>
          <w:u w:val="single"/>
        </w:rPr>
        <w:t xml:space="preserve">Zadanie 2. Dostawa 3 systemów obliczeniowych z </w:t>
      </w:r>
      <w:proofErr w:type="spellStart"/>
      <w:r w:rsidRPr="008E3C91">
        <w:rPr>
          <w:rFonts w:ascii="Arial" w:hAnsi="Arial" w:cs="Arial"/>
          <w:b/>
          <w:sz w:val="24"/>
          <w:szCs w:val="24"/>
          <w:u w:val="single"/>
        </w:rPr>
        <w:t>akceleleratorami</w:t>
      </w:r>
      <w:proofErr w:type="spellEnd"/>
      <w:r w:rsidRPr="008E3C91">
        <w:rPr>
          <w:rFonts w:ascii="Arial" w:hAnsi="Arial" w:cs="Arial"/>
          <w:b/>
          <w:sz w:val="24"/>
          <w:szCs w:val="24"/>
          <w:u w:val="single"/>
        </w:rPr>
        <w:t xml:space="preserve"> dla Katedry Informatyki</w:t>
      </w:r>
    </w:p>
    <w:p w:rsidR="008E3C91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E3C91">
        <w:rPr>
          <w:rFonts w:ascii="Arial" w:hAnsi="Arial" w:cs="Arial"/>
          <w:b/>
          <w:sz w:val="24"/>
          <w:szCs w:val="24"/>
          <w:u w:val="single"/>
        </w:rPr>
        <w:t xml:space="preserve">Zadanie 3. Dyski SSD wraz z adapterami dla Miejskiej Sieci Komputerowej </w:t>
      </w:r>
      <w:proofErr w:type="spellStart"/>
      <w:r w:rsidRPr="008E3C91">
        <w:rPr>
          <w:rFonts w:ascii="Arial" w:hAnsi="Arial" w:cs="Arial"/>
          <w:b/>
          <w:sz w:val="24"/>
          <w:szCs w:val="24"/>
          <w:u w:val="single"/>
        </w:rPr>
        <w:t>CzestMAN</w:t>
      </w:r>
      <w:proofErr w:type="spellEnd"/>
      <w:r w:rsidRPr="008E3C91">
        <w:rPr>
          <w:rFonts w:ascii="Arial" w:hAnsi="Arial" w:cs="Arial"/>
          <w:b/>
          <w:sz w:val="24"/>
          <w:szCs w:val="24"/>
          <w:u w:val="single"/>
        </w:rPr>
        <w:t>.</w:t>
      </w:r>
    </w:p>
    <w:p w:rsidR="008E3C91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3C91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3C91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E3C91">
        <w:rPr>
          <w:rFonts w:ascii="Arial" w:hAnsi="Arial" w:cs="Arial"/>
          <w:b/>
          <w:sz w:val="24"/>
          <w:szCs w:val="24"/>
          <w:u w:val="single"/>
        </w:rPr>
        <w:t xml:space="preserve">Zadanie 1. Serwer z urządzeniami oraz oprogramowaniem i </w:t>
      </w:r>
      <w:proofErr w:type="spellStart"/>
      <w:r w:rsidRPr="008E3C91">
        <w:rPr>
          <w:rFonts w:ascii="Arial" w:hAnsi="Arial" w:cs="Arial"/>
          <w:b/>
          <w:sz w:val="24"/>
          <w:szCs w:val="24"/>
          <w:u w:val="single"/>
        </w:rPr>
        <w:t>lecencjami</w:t>
      </w:r>
      <w:proofErr w:type="spellEnd"/>
      <w:r w:rsidRPr="008E3C91">
        <w:rPr>
          <w:rFonts w:ascii="Arial" w:hAnsi="Arial" w:cs="Arial"/>
          <w:b/>
          <w:sz w:val="24"/>
          <w:szCs w:val="24"/>
          <w:u w:val="single"/>
        </w:rPr>
        <w:t xml:space="preserve"> dla Katedry Inteligentnych Systemów Informatycznych</w:t>
      </w:r>
    </w:p>
    <w:p w:rsidR="008E3C91" w:rsidRPr="008E3C91" w:rsidRDefault="008E3C91" w:rsidP="008E3C91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 xml:space="preserve">Serwer </w:t>
      </w:r>
      <w:proofErr w:type="spellStart"/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>wirtualizacyjny</w:t>
      </w:r>
      <w:proofErr w:type="spellEnd"/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 xml:space="preserve"> VDI</w:t>
      </w:r>
      <w:r w:rsidRPr="008E3C91">
        <w:rPr>
          <w:rFonts w:ascii="Arial" w:eastAsia="Calibri" w:hAnsi="Arial" w:cs="Arial"/>
          <w:iCs/>
          <w:sz w:val="24"/>
          <w:szCs w:val="24"/>
        </w:rPr>
        <w:t>:</w:t>
      </w:r>
    </w:p>
    <w:p w:rsidR="008E3C91" w:rsidRPr="008E3C91" w:rsidRDefault="008E3C91" w:rsidP="008E3C91">
      <w:pPr>
        <w:spacing w:after="0" w:line="360" w:lineRule="auto"/>
        <w:ind w:left="708"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Przedmiotem zamówienia jest serwer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wirtualizacyjny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wraz oprogramowaniem umożliwiający stworzenie środowiska VDI.</w:t>
      </w:r>
    </w:p>
    <w:p w:rsidR="008E3C91" w:rsidRPr="008E3C91" w:rsidRDefault="008E3C91" w:rsidP="008E3C91">
      <w:pPr>
        <w:numPr>
          <w:ilvl w:val="0"/>
          <w:numId w:val="14"/>
        </w:numPr>
        <w:spacing w:after="0" w:line="360" w:lineRule="auto"/>
        <w:ind w:firstLine="0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Dodatkowy kod lub kody CPV: 48822000-6</w:t>
      </w:r>
    </w:p>
    <w:p w:rsidR="008E3C91" w:rsidRPr="008E3C91" w:rsidRDefault="008E3C91" w:rsidP="008E3C91">
      <w:pPr>
        <w:numPr>
          <w:ilvl w:val="0"/>
          <w:numId w:val="14"/>
        </w:numPr>
        <w:spacing w:after="0" w:line="360" w:lineRule="auto"/>
        <w:ind w:firstLine="0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>2 x Procesor: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Procesor w testach powinien uzyskiwać minimum 91485 pkt. dla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multi-core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oraz minimum 2384 pkt. dla single-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core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w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PassMark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Benchmark (na dzień 02.06.2022)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Liczba rdzeni procesora: minimum 40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Liczba wątków procesora: minimum 80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Bazowe taktowanie: minimum 2,3 GHz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Maksymalne taktowanie: minimum 3,4 GHz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L1 cache: minimum 2,5 MB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L2 cache: minimum 40 MB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L3 cache: minimum 60 MB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lastRenderedPageBreak/>
        <w:t>Maksymalna liczba obsługiwanej pamięci: minimum 8 TB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Wspierana częstotliwość taktowania pamięci: 3200 MHz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Wsparcie wirtualizacji: tak</w:t>
      </w:r>
    </w:p>
    <w:p w:rsidR="008E3C91" w:rsidRPr="008E3C91" w:rsidRDefault="008E3C91" w:rsidP="008E3C91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      </w:t>
      </w: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>Pamięć: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Ilość pamięci: minimum 2 TB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Częstotliwość taktowania pamięci 3200 MHz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Rodzaj pamięci DDR4</w:t>
      </w:r>
    </w:p>
    <w:p w:rsidR="008E3C91" w:rsidRPr="008E3C91" w:rsidRDefault="008E3C91" w:rsidP="008E3C91">
      <w:pPr>
        <w:spacing w:after="0" w:line="360" w:lineRule="auto"/>
        <w:ind w:left="1776"/>
        <w:contextualSpacing/>
        <w:rPr>
          <w:rFonts w:ascii="Arial" w:eastAsia="Calibri" w:hAnsi="Arial" w:cs="Arial"/>
          <w:iCs/>
          <w:sz w:val="24"/>
          <w:szCs w:val="24"/>
        </w:rPr>
      </w:pPr>
    </w:p>
    <w:p w:rsidR="008E3C91" w:rsidRPr="008E3C91" w:rsidRDefault="008E3C91" w:rsidP="008E3C91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     </w:t>
      </w: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>Przestrzeń dyskowa: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2 x dysk M.2 SATA o pojemności min. 480 GB oraz szybkości transmisji min. 6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Gb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/s.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6 x dysk SAS 2.5 cala o pojemności min. 960GB oraz szybkości transmisji min. 12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Gb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/s</w:t>
      </w:r>
    </w:p>
    <w:p w:rsidR="008E3C91" w:rsidRPr="008E3C91" w:rsidRDefault="008E3C91" w:rsidP="008E3C91">
      <w:pPr>
        <w:spacing w:after="0" w:line="360" w:lineRule="auto"/>
        <w:ind w:left="1776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dysk powinien umożliwiać pracę w trybie hot-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swap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.</w:t>
      </w:r>
    </w:p>
    <w:p w:rsidR="008E3C91" w:rsidRPr="008E3C91" w:rsidRDefault="008E3C91" w:rsidP="008E3C9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1 x sprzętowy kontroler RAID kompatybilny powyższymi z dyskami 2.5 SAS umożliwiający pracę w trybie hot-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swap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.</w:t>
      </w:r>
    </w:p>
    <w:p w:rsidR="008E3C91" w:rsidRPr="008E3C91" w:rsidRDefault="008E3C91" w:rsidP="008E3C91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 xml:space="preserve">    3 x Karty sieciowe wraz kompletem modułów SFP+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Liczba portów: min. 2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sz w:val="24"/>
          <w:szCs w:val="24"/>
        </w:rPr>
        <w:t xml:space="preserve">Szybkość transmisji danych na port: min. 10 </w:t>
      </w:r>
      <w:proofErr w:type="spellStart"/>
      <w:r w:rsidRPr="008E3C91">
        <w:rPr>
          <w:rFonts w:ascii="Arial" w:eastAsia="Calibri" w:hAnsi="Arial" w:cs="Arial"/>
          <w:sz w:val="24"/>
          <w:szCs w:val="24"/>
        </w:rPr>
        <w:t>GbE</w:t>
      </w:r>
      <w:proofErr w:type="spellEnd"/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Typ interfejsu: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PCIe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3.0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Typ portów: SFP+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Inne wymagane funkcjonalności: </w:t>
      </w:r>
    </w:p>
    <w:p w:rsidR="008E3C91" w:rsidRPr="008E3C91" w:rsidRDefault="008E3C91" w:rsidP="008E3C91">
      <w:pPr>
        <w:numPr>
          <w:ilvl w:val="2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Jumbo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frames</w:t>
      </w:r>
      <w:proofErr w:type="spellEnd"/>
    </w:p>
    <w:p w:rsidR="008E3C91" w:rsidRPr="008E3C91" w:rsidRDefault="008E3C91" w:rsidP="008E3C91">
      <w:pPr>
        <w:numPr>
          <w:ilvl w:val="2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Link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aggregation</w:t>
      </w:r>
      <w:proofErr w:type="spellEnd"/>
    </w:p>
    <w:p w:rsidR="008E3C91" w:rsidRPr="008E3C91" w:rsidRDefault="008E3C91" w:rsidP="008E3C91">
      <w:pPr>
        <w:numPr>
          <w:ilvl w:val="2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VLAN 802.1q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Przedmiotem zamówienia są również kompatybilne moduły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multimode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SFP+ w liczbie min. 2 na kartę sieciową o szybkości transmisji min. 10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Gb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/s.</w:t>
      </w:r>
    </w:p>
    <w:p w:rsidR="008E3C91" w:rsidRPr="008E3C91" w:rsidRDefault="008E3C91" w:rsidP="008E3C91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>1 x Karta sieciowa wraz kompletem modułów SFP+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Liczba portów: min. 2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sz w:val="24"/>
          <w:szCs w:val="24"/>
        </w:rPr>
        <w:t xml:space="preserve">Szybkość transmisji danych na port: min. 10 </w:t>
      </w:r>
      <w:proofErr w:type="spellStart"/>
      <w:r w:rsidRPr="008E3C91">
        <w:rPr>
          <w:rFonts w:ascii="Arial" w:eastAsia="Calibri" w:hAnsi="Arial" w:cs="Arial"/>
          <w:sz w:val="24"/>
          <w:szCs w:val="24"/>
        </w:rPr>
        <w:t>GbE</w:t>
      </w:r>
      <w:proofErr w:type="spellEnd"/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Typ interfejsu: OCP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Typ portów: SFP+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Inne wymagane funkcjonalności: </w:t>
      </w:r>
    </w:p>
    <w:p w:rsidR="008E3C91" w:rsidRPr="008E3C91" w:rsidRDefault="008E3C91" w:rsidP="008E3C91">
      <w:pPr>
        <w:numPr>
          <w:ilvl w:val="2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Jumbo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frames</w:t>
      </w:r>
      <w:proofErr w:type="spellEnd"/>
    </w:p>
    <w:p w:rsidR="008E3C91" w:rsidRPr="008E3C91" w:rsidRDefault="008E3C91" w:rsidP="008E3C91">
      <w:pPr>
        <w:numPr>
          <w:ilvl w:val="2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Link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aggregation</w:t>
      </w:r>
      <w:proofErr w:type="spellEnd"/>
    </w:p>
    <w:p w:rsidR="008E3C91" w:rsidRPr="008E3C91" w:rsidRDefault="008E3C91" w:rsidP="008E3C91">
      <w:pPr>
        <w:numPr>
          <w:ilvl w:val="2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VLAN 802.1q</w:t>
      </w:r>
    </w:p>
    <w:p w:rsidR="008E3C91" w:rsidRPr="008E3C91" w:rsidRDefault="008E3C91" w:rsidP="008E3C91">
      <w:pPr>
        <w:spacing w:after="0" w:line="360" w:lineRule="auto"/>
        <w:ind w:left="1788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Przedmiotem zamówienia są również kompatybilne moduły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multimode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SFP+ w liczbie min. 2 na kartę sieciową o szybkości transmisji min. 10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Gb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/s.</w:t>
      </w:r>
    </w:p>
    <w:p w:rsidR="008E3C91" w:rsidRPr="008E3C91" w:rsidRDefault="008E3C91" w:rsidP="008E3C91">
      <w:pPr>
        <w:spacing w:after="0" w:line="360" w:lineRule="auto"/>
        <w:ind w:left="1788"/>
        <w:contextualSpacing/>
        <w:rPr>
          <w:rFonts w:ascii="Arial" w:eastAsia="Calibri" w:hAnsi="Arial" w:cs="Arial"/>
          <w:iCs/>
          <w:sz w:val="24"/>
          <w:szCs w:val="24"/>
        </w:rPr>
      </w:pPr>
    </w:p>
    <w:p w:rsidR="008E3C91" w:rsidRPr="008E3C91" w:rsidRDefault="008E3C91" w:rsidP="008E3C91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>3 x Karta graficzna (GPU)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Pojedyncza karta graficzna w testach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Geekbench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powinna uzyskiwać minimum 139688 pkt. oraz minimum 2010 pkt. w testach przy pomocy testów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benchmarkowych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wykorzystujących sztuczną sieć neuronową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googlenet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(na dzień 02.06.2022).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Ilość pamięci pojedynczej karty graficznej: min. 24 GB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Typ pamięci: HBM2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Napięcie: 230V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Liczba rdzeni GPU: min. 3800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Liczba rdzeni TPU: min. 220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Przepustowość pamięci: 930 GB/s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 xml:space="preserve">Interfejs: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PCIe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 xml:space="preserve"> Gen 4.0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Wydajność dla FP32 (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float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): 10,32 TFLOPS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Wydajność dla FP32 (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double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): 5,161 TFLOPS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Taktowanie zegara bazowego: 930 MHz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lastRenderedPageBreak/>
        <w:t xml:space="preserve">Taktowanie zegara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boost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: 1440 MHz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Taktowanie pamięci karty graficznej: 1215 MHz</w:t>
      </w:r>
    </w:p>
    <w:p w:rsidR="008E3C91" w:rsidRPr="008E3C91" w:rsidRDefault="008E3C91" w:rsidP="008E3C91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>4 x Zasilacz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Moc: 2400W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Tryb hot-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</w:rPr>
        <w:t>swap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</w:rPr>
        <w:t>: tak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</w:rPr>
        <w:t>Napięcie: 230V</w:t>
      </w:r>
    </w:p>
    <w:p w:rsidR="008E3C91" w:rsidRPr="008E3C91" w:rsidRDefault="008E3C91" w:rsidP="008E3C91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>Czas gwarancji</w:t>
      </w:r>
      <w:r w:rsidRPr="008E3C91">
        <w:rPr>
          <w:rFonts w:ascii="Arial" w:eastAsia="Calibri" w:hAnsi="Arial" w:cs="Arial"/>
          <w:iCs/>
          <w:sz w:val="24"/>
          <w:szCs w:val="24"/>
        </w:rPr>
        <w:t>: minimum 5 lat</w:t>
      </w:r>
    </w:p>
    <w:p w:rsidR="008E3C91" w:rsidRPr="008E3C91" w:rsidRDefault="008E3C91" w:rsidP="008E3C91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>Oprogramowanie oraz licencje: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>Windows Server 2022 Datacenter (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>dla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>łącznie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 xml:space="preserve"> 80 core)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  <w:lang w:val="en-US"/>
        </w:rPr>
      </w:pPr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 xml:space="preserve">150 x Windows Server 2022 CAL (per user) 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  <w:lang w:val="en-US"/>
        </w:rPr>
      </w:pPr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>150 x Windows Server 2022 Remote Desktop Services CAL (per user)</w:t>
      </w:r>
    </w:p>
    <w:p w:rsidR="008E3C91" w:rsidRPr="008E3C91" w:rsidRDefault="008E3C91" w:rsidP="008E3C91">
      <w:pPr>
        <w:numPr>
          <w:ilvl w:val="1"/>
          <w:numId w:val="16"/>
        </w:num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  <w:lang w:val="en-US"/>
        </w:rPr>
      </w:pPr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>3 x NVIDIA Virtual Compute Server Subscription EDU (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>subskrypcja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 xml:space="preserve"> 5-cio </w:t>
      </w:r>
      <w:proofErr w:type="spellStart"/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>letnia</w:t>
      </w:r>
      <w:proofErr w:type="spellEnd"/>
      <w:r w:rsidRPr="008E3C91">
        <w:rPr>
          <w:rFonts w:ascii="Arial" w:eastAsia="Calibri" w:hAnsi="Arial" w:cs="Arial"/>
          <w:iCs/>
          <w:sz w:val="24"/>
          <w:szCs w:val="24"/>
          <w:lang w:val="en-US"/>
        </w:rPr>
        <w:t xml:space="preserve">) </w:t>
      </w:r>
    </w:p>
    <w:p w:rsidR="008E3C91" w:rsidRPr="008E3C91" w:rsidRDefault="008E3C91" w:rsidP="008E3C91">
      <w:pPr>
        <w:spacing w:after="0" w:line="360" w:lineRule="auto"/>
        <w:ind w:left="708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8E3C91">
        <w:rPr>
          <w:rFonts w:ascii="Arial" w:eastAsia="Calibri" w:hAnsi="Arial" w:cs="Arial"/>
          <w:b/>
          <w:bCs/>
          <w:iCs/>
          <w:sz w:val="24"/>
          <w:szCs w:val="24"/>
        </w:rPr>
        <w:t>Wszystkie wymienione powyżej składowe serwera powinny być ze sobą kompatybilne. Oferty zawierające sprzęt lub oprogramowanie wzajemnie niekompatybilne będą traktowane jako niezgodne ze specyfikacją.</w:t>
      </w:r>
    </w:p>
    <w:p w:rsidR="008E3C91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3C91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E3C91">
        <w:rPr>
          <w:rFonts w:ascii="Arial" w:hAnsi="Arial" w:cs="Arial"/>
          <w:b/>
          <w:sz w:val="24"/>
          <w:szCs w:val="24"/>
          <w:u w:val="single"/>
        </w:rPr>
        <w:t xml:space="preserve">Zadanie 2. Dostawa 3 systemów obliczeniowych z </w:t>
      </w:r>
      <w:proofErr w:type="spellStart"/>
      <w:r w:rsidRPr="008E3C91">
        <w:rPr>
          <w:rFonts w:ascii="Arial" w:hAnsi="Arial" w:cs="Arial"/>
          <w:b/>
          <w:sz w:val="24"/>
          <w:szCs w:val="24"/>
          <w:u w:val="single"/>
        </w:rPr>
        <w:t>akceleleratorami</w:t>
      </w:r>
      <w:proofErr w:type="spellEnd"/>
      <w:r w:rsidRPr="008E3C91">
        <w:rPr>
          <w:rFonts w:ascii="Arial" w:hAnsi="Arial" w:cs="Arial"/>
          <w:b/>
          <w:sz w:val="24"/>
          <w:szCs w:val="24"/>
          <w:u w:val="single"/>
        </w:rPr>
        <w:t xml:space="preserve"> dla Katedry Informatyki</w:t>
      </w:r>
      <w:bookmarkStart w:id="0" w:name="_GoBack"/>
      <w:bookmarkEnd w:id="0"/>
    </w:p>
    <w:p w:rsidR="008E3C91" w:rsidRPr="008E3C91" w:rsidRDefault="008E3C91" w:rsidP="008E3C91">
      <w:pPr>
        <w:widowControl w:val="0"/>
        <w:suppressAutoHyphens/>
        <w:spacing w:after="0" w:line="360" w:lineRule="auto"/>
        <w:textAlignment w:val="baseline"/>
        <w:rPr>
          <w:rFonts w:ascii="Arial" w:eastAsia="WenQuanYi Zen Hei Sharp" w:hAnsi="Arial" w:cs="Arial"/>
          <w:kern w:val="2"/>
          <w:sz w:val="24"/>
          <w:szCs w:val="24"/>
          <w:lang w:eastAsia="zh-CN" w:bidi="hi-IN"/>
        </w:rPr>
      </w:pPr>
      <w:r w:rsidRPr="008E3C91">
        <w:rPr>
          <w:rFonts w:ascii="Arial" w:eastAsia="WenQuanYi Zen Hei Sharp" w:hAnsi="Arial" w:cs="Arial"/>
          <w:b/>
          <w:bCs/>
          <w:kern w:val="2"/>
          <w:sz w:val="24"/>
          <w:szCs w:val="24"/>
          <w:lang w:eastAsia="zh-CN" w:bidi="hi-IN"/>
        </w:rPr>
        <w:t xml:space="preserve">3 </w:t>
      </w:r>
      <w:r w:rsidRPr="008E3C91">
        <w:rPr>
          <w:rFonts w:ascii="Arial" w:eastAsia="WenQuanYi Zen Hei Sharp" w:hAnsi="Arial" w:cs="Arial"/>
          <w:b/>
          <w:bCs/>
          <w:color w:val="000000"/>
          <w:kern w:val="2"/>
          <w:sz w:val="24"/>
          <w:szCs w:val="24"/>
          <w:lang w:eastAsia="zh-CN" w:bidi="hi-IN"/>
        </w:rPr>
        <w:t>serwery</w:t>
      </w:r>
      <w:r w:rsidRPr="008E3C91">
        <w:rPr>
          <w:rFonts w:ascii="Arial" w:eastAsia="WenQuanYi Zen Hei Sharp" w:hAnsi="Arial" w:cs="Arial"/>
          <w:b/>
          <w:bCs/>
          <w:kern w:val="2"/>
          <w:sz w:val="24"/>
          <w:szCs w:val="24"/>
          <w:lang w:eastAsia="zh-CN" w:bidi="hi-IN"/>
        </w:rPr>
        <w:t xml:space="preserve"> obliczeniowe z akceleratorami:</w:t>
      </w:r>
    </w:p>
    <w:tbl>
      <w:tblPr>
        <w:tblW w:w="8881" w:type="dxa"/>
        <w:tblInd w:w="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7527"/>
      </w:tblGrid>
      <w:tr w:rsidR="008E3C91" w:rsidRPr="008E3C91" w:rsidTr="008E3C91">
        <w:trPr>
          <w:trHeight w:val="255"/>
        </w:trPr>
        <w:tc>
          <w:tcPr>
            <w:tcW w:w="88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Wymagania minimalne:</w:t>
            </w:r>
          </w:p>
        </w:tc>
      </w:tr>
      <w:tr w:rsidR="008E3C91" w:rsidRPr="008E3C91" w:rsidTr="008E3C91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Procesor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64 bitowy, zgodny z architekturą x86,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Minimalna liczba fizycznych rdzeni: 16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Częstotliwość taktowania „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turbo”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: minimum 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4.5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GHz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Rozmiar pamięci podręcznej: minimum 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30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MB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Zapewnione wsparcie dla PCI 4.0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Chłodzenie: aktywne, gwarantujące bezawaryjną pracę przy 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lastRenderedPageBreak/>
              <w:t>pełnym obciążeniu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zh-CN"/>
              </w:rPr>
              <w:t>Cinebench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zh-CN"/>
              </w:rPr>
              <w:t xml:space="preserve"> R20 - CPU Multi 64Bit: minimum 10000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zh-CN"/>
              </w:rPr>
              <w:t>Cinebench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zh-CN"/>
              </w:rPr>
              <w:t xml:space="preserve"> R20 - CPU Single 64Bit: minimum 600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proofErr w:type="spellStart"/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Passmark</w:t>
            </w:r>
            <w:proofErr w:type="spellEnd"/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</w:rPr>
              <w:t>CPU Mark</w:t>
            </w: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: minimum 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405</w:t>
            </w: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00</w:t>
            </w:r>
          </w:p>
        </w:tc>
      </w:tr>
      <w:tr w:rsidR="008E3C91" w:rsidRPr="008E3C91" w:rsidTr="008E3C91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Pamięć RAM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Pojemność: co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najmnie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128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GB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Częstotliwość: co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najmnie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3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2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00 MHz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Kości pamięci powinny zostać rozłożone równomiernie na wszystkich kanałach dostępu do procesora</w:t>
            </w:r>
          </w:p>
        </w:tc>
      </w:tr>
      <w:tr w:rsidR="008E3C91" w:rsidRPr="008E3C91" w:rsidTr="008E3C91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Dwa dyski twarde SSD M2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20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Pojemność: minimum 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1T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B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0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Zgodność ze standardem co najmniej M2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PCIe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NVMe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4.0 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Transfery danych: odczyt/zapis  minimum 6000MB/s</w:t>
            </w:r>
          </w:p>
        </w:tc>
      </w:tr>
      <w:tr w:rsidR="008E3C91" w:rsidRPr="008E3C91" w:rsidTr="008E3C91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Dwa</w:t>
            </w: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 dyski twarde SSD SATAIII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Pojemność: minimum 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1T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B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Noto Serif CJK SC;Times New Rom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interfejs 2,5" SATA III (6.0 </w:t>
            </w:r>
            <w:proofErr w:type="spellStart"/>
            <w:r w:rsidRPr="008E3C91">
              <w:rPr>
                <w:rFonts w:ascii="Arial" w:eastAsia="Noto Serif CJK SC;Times New Rom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Gb</w:t>
            </w:r>
            <w:proofErr w:type="spellEnd"/>
            <w:r w:rsidRPr="008E3C91">
              <w:rPr>
                <w:rFonts w:ascii="Arial" w:eastAsia="Noto Serif CJK SC;Times New Rom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/s)</w:t>
            </w:r>
          </w:p>
        </w:tc>
      </w:tr>
      <w:tr w:rsidR="008E3C91" w:rsidRPr="008E3C91" w:rsidTr="008E3C91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Akcelerator GPU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2  </w:t>
            </w:r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s</w:t>
            </w:r>
            <w:r w:rsidRPr="008E3C91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erwery powinny </w:t>
            </w:r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zawierać po jednym akceleratorze </w:t>
            </w:r>
            <w:proofErr w:type="spellStart"/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cechujacym</w:t>
            </w:r>
            <w:proofErr w:type="spellEnd"/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się: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Liczba rdzeni CUDA: minimum 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10000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Bazowa częstotliwość taktowania rdzeni: minimum 1,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4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GHz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Pamięć karty: minimum 24GB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Rodzaj pamięci: GDDR6X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Szerokość magistrali pamięci: 384-bitów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Rodzaj złącza: PCI 4.0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Standardowe złącza wyświetlania: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DisplayPort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: min. 2 szt.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zh-CN"/>
              </w:rPr>
              <w:t xml:space="preserve">Ze względu na oprogramowanie wykorzystywane w </w:t>
            </w:r>
            <w:r w:rsidRPr="008E3C91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zh-CN"/>
              </w:rPr>
              <w:lastRenderedPageBreak/>
              <w:t>pracach naukowych zainstalowana karta musi oferować wsparcie dla języka programowania CUDA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1 </w:t>
            </w:r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s</w:t>
            </w:r>
            <w:r w:rsidRPr="008E3C91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erwer powinien zostać </w:t>
            </w:r>
            <w:proofErr w:type="spellStart"/>
            <w:r w:rsidRPr="008E3C91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/>
              </w:rPr>
              <w:t>dostrczony</w:t>
            </w:r>
            <w:proofErr w:type="spellEnd"/>
            <w:r w:rsidRPr="008E3C91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 z akceleratorem </w:t>
            </w:r>
            <w:r w:rsidRPr="008E3C91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/>
              </w:rPr>
              <w:br/>
            </w:r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RTX</w:t>
            </w:r>
            <w:r w:rsidRPr="008E3C91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 3090 w celu zapewnienia prawidłowej współpracy </w:t>
            </w:r>
            <w:r w:rsidRPr="008E3C91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/>
              </w:rPr>
              <w:br/>
              <w:t xml:space="preserve">z posiadanym </w:t>
            </w:r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na Politechnice Częstochowskiej akceleratorem  </w:t>
            </w:r>
            <w:proofErr w:type="spellStart"/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Gigabyte</w:t>
            </w:r>
            <w:proofErr w:type="spellEnd"/>
            <w:r w:rsidRPr="008E3C91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RTX 3090, który zostanie zamontowany w serwerze. Serwer powinien zostać wyposażony w łącze pozwalające na bezpośrednią komunikacje dwóch akceleratorów.</w:t>
            </w:r>
          </w:p>
          <w:p w:rsidR="008E3C91" w:rsidRPr="008E3C91" w:rsidRDefault="008E3C91" w:rsidP="008E3C91">
            <w:p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zh-CN"/>
              </w:rPr>
            </w:pPr>
          </w:p>
        </w:tc>
      </w:tr>
      <w:tr w:rsidR="008E3C91" w:rsidRPr="008E3C91" w:rsidTr="008E3C91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lastRenderedPageBreak/>
              <w:t>Płyta główna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color w:val="000000"/>
                <w:kern w:val="2"/>
                <w:sz w:val="24"/>
                <w:szCs w:val="24"/>
                <w:lang w:eastAsia="pl-PL" w:bidi="hi-IN"/>
              </w:rPr>
              <w:t>Zgodna z dobranym procesorem, pamięcią RAM oraz kartą graficzną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Wsparcie dla obsługi 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co najmniej 2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kart graficznych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Obsługa dysków twardych SSD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NVMe</w:t>
            </w:r>
            <w:proofErr w:type="spellEnd"/>
          </w:p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Złącza zewnętrzne: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SATA III: minimum 4 szt.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M.2: minimum 3 szt.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PCIe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4.0 x16: minimum 2 szt. 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USB 3.1 Gen. 2 typu C: minimum 1 szt.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zh-CN"/>
              </w:rPr>
              <w:t xml:space="preserve">USB 3.1 Gen. 1: minimum 1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zh-CN"/>
              </w:rPr>
              <w:t>szt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zh-CN"/>
              </w:rPr>
              <w:t>.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  <w:t>Obsługa co najmniej: RAID 0, RAID 1 oraz RAID 10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Zintegrowana karta dźwiękowa stereo, zgodna z HD audio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Wsparcie SLI i </w:t>
            </w:r>
            <w:proofErr w:type="spellStart"/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CrossFireX</w:t>
            </w:r>
            <w:proofErr w:type="spellEnd"/>
          </w:p>
        </w:tc>
      </w:tr>
      <w:tr w:rsidR="008E3C91" w:rsidRPr="008E3C91" w:rsidTr="008E3C91"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Zasilacz</w:t>
            </w:r>
          </w:p>
        </w:tc>
        <w:tc>
          <w:tcPr>
            <w:tcW w:w="78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  <w:t xml:space="preserve">o mocy minimum 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1200</w:t>
            </w:r>
            <w:r w:rsidRPr="008E3C91"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  <w:t>W gwarantującej prawidłową pracę przy pełnym obciążeniu procesora i GPU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Modularne zarządzanie przewodami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Certyfikat: min. 80Plus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platinum</w:t>
            </w:r>
            <w:proofErr w:type="spellEnd"/>
          </w:p>
          <w:p w:rsidR="008E3C91" w:rsidRPr="008E3C91" w:rsidRDefault="008E3C91" w:rsidP="008E3C91">
            <w:pPr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Zabezpieczenia: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lastRenderedPageBreak/>
              <w:t xml:space="preserve">Przed zbyt wysokim prądem (OCP) 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Przeciwprzepięciowe (OVP) 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Przeciwzwarciowe (SCP) 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Przed zbyt niskim napięciem (UVP)</w:t>
            </w:r>
          </w:p>
        </w:tc>
      </w:tr>
      <w:tr w:rsidR="008E3C91" w:rsidRPr="008E3C91" w:rsidTr="008E3C91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Obudowa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23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Obudowach typu Tower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Co najmniej 4 miejsca na dyski twarde 2.5 cala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Co najmniej 2 miejsca na dyski twarde 3.5 cala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Zainstalowane wentylatory: 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Minimum 2 x 120 mm przód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Minimum 1 x 120 mm tył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Wyprowadzone złącza z przodu:  </w:t>
            </w:r>
            <w:r w:rsidRPr="008E3C91"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  <w:t>3.1 Gen. 1 (USB 3.0) - minimum 2 szt.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Wejście słuchawkowe/głośnikowe, wejście mikrofonowe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Otwór wpierający montaż chłodzenia na procesor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  <w:t>System aranżowania kabli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8E3C91"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  <w:t>Możliwość montażu chłodzenia wodnego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Filtry anty-kurzowe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Kolorystyka: ciemna, stonowana</w:t>
            </w:r>
          </w:p>
        </w:tc>
      </w:tr>
      <w:tr w:rsidR="008E3C91" w:rsidRPr="008E3C91" w:rsidTr="008E3C91"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Dwa identyczne monitory 27 cali</w:t>
            </w:r>
          </w:p>
        </w:tc>
        <w:tc>
          <w:tcPr>
            <w:tcW w:w="78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Przekątna ekranu: 27 cali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Rodzaj matrycy: matowa LED, IPS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Typ ekranu: płaski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Czas reakcji: maksymalnie 8 ms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Minimalna rozdzielczość ekranu: 2560 x 1440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Format obrazu: 16:9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Obrotowy ekran (PIVOT)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Częstotliwość odświeżania: minimum 60Hz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Liczba wyświetlanych kolorów: 16,7 mln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lastRenderedPageBreak/>
              <w:t>Jasność: minimum 350 cd/m²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Kontrast statyczny: minimum 1000:1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Kąt widzenia w pionie oraz poziomie: minimum 178 stopni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Złącza: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HDMI: min 1 szt.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DisplayPort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: min 2 szt.</w:t>
            </w:r>
          </w:p>
          <w:p w:rsidR="008E3C91" w:rsidRPr="008E3C91" w:rsidRDefault="008E3C91" w:rsidP="008E3C91">
            <w:pPr>
              <w:widowControl w:val="0"/>
              <w:numPr>
                <w:ilvl w:val="1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USB 3.0: min 5 szt.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Możliwość regulacji: wysokości, kąta nachylenia oraz kąta obrotu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Ochrona oczu: filtr światła niebieskiego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Możliwość łączenia monitorów szeregowo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5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Kabel: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DisplayPort</w:t>
            </w:r>
            <w:proofErr w:type="spellEnd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 - 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DisplayPort</w:t>
            </w:r>
            <w:proofErr w:type="spellEnd"/>
          </w:p>
        </w:tc>
      </w:tr>
      <w:tr w:rsidR="008E3C91" w:rsidRPr="008E3C91" w:rsidTr="008E3C91">
        <w:trPr>
          <w:trHeight w:val="140"/>
        </w:trPr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lastRenderedPageBreak/>
              <w:t>Klawiatura i mysz</w:t>
            </w:r>
          </w:p>
        </w:tc>
        <w:tc>
          <w:tcPr>
            <w:tcW w:w="78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Typ klawiatury: multimedialna, </w:t>
            </w:r>
            <w:proofErr w:type="spellStart"/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niskoprofilowa</w:t>
            </w:r>
            <w:proofErr w:type="spellEnd"/>
          </w:p>
          <w:p w:rsidR="008E3C91" w:rsidRPr="008E3C91" w:rsidRDefault="008E3C91" w:rsidP="008E3C91">
            <w:pPr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Klawisze numeryczne oraz multimedialne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Podpórka pod nadgarstki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Sensor myszy: optyczny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Profil myszy: uniwersalny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Odbiornik: pojedynczy dla obu urządzeń (z możliwością podłączenia do 6 urządzeń do jednego odbiornika)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Łączność: bezprzewodowa 2,4 GHz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Odporność na zachlapanie</w:t>
            </w:r>
          </w:p>
          <w:p w:rsidR="008E3C91" w:rsidRPr="008E3C91" w:rsidRDefault="008E3C91" w:rsidP="008E3C91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Kolorystyka: ciemna, stonowana</w:t>
            </w:r>
          </w:p>
        </w:tc>
      </w:tr>
      <w:tr w:rsidR="008E3C91" w:rsidRPr="008E3C91" w:rsidTr="008E3C91"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zh-CN"/>
              </w:rPr>
              <w:t xml:space="preserve">System </w:t>
            </w:r>
            <w:proofErr w:type="spellStart"/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zh-CN"/>
              </w:rPr>
              <w:t>operacyjny</w:t>
            </w:r>
            <w:proofErr w:type="spellEnd"/>
          </w:p>
        </w:tc>
        <w:tc>
          <w:tcPr>
            <w:tcW w:w="78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Wymagan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e</w:t>
            </w: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 jest dostarczenie serwera z zainstalowanym system operacyjnym Microsoft Windows 1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>1</w:t>
            </w: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 PL PRO (64-bit) w wersji BOX. Wybór systemu Windows 1</w:t>
            </w:r>
            <w:r w:rsidRPr="008E3C91">
              <w:rPr>
                <w:rFonts w:ascii="Arial" w:eastAsia="Noto Serif CJK SC;Times New Rom" w:hAnsi="Arial" w:cs="Arial"/>
                <w:kern w:val="2"/>
                <w:sz w:val="24"/>
                <w:szCs w:val="24"/>
                <w:lang w:eastAsia="zh-CN" w:bidi="hi-IN"/>
              </w:rPr>
              <w:t xml:space="preserve">1 </w:t>
            </w: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wynika z konieczności zachowania zgodności </w:t>
            </w:r>
            <w:r w:rsidRPr="008E3C91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rozwijanego </w:t>
            </w: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oprogramowaniem w ramach prowadzonych prac naukowo-badawczych.</w:t>
            </w:r>
          </w:p>
        </w:tc>
      </w:tr>
      <w:tr w:rsidR="008E3C91" w:rsidRPr="008E3C91" w:rsidTr="008E3C91"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8E3C91" w:rsidRPr="008E3C91" w:rsidRDefault="008E3C91" w:rsidP="008E3C91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Gwarancja</w:t>
            </w:r>
          </w:p>
        </w:tc>
        <w:tc>
          <w:tcPr>
            <w:tcW w:w="78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3C91" w:rsidRPr="008E3C91" w:rsidRDefault="008E3C91" w:rsidP="008E3C91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8E3C9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minimum 24 miesiące</w:t>
            </w:r>
          </w:p>
        </w:tc>
      </w:tr>
    </w:tbl>
    <w:p w:rsidR="008E3C91" w:rsidRPr="008E3C91" w:rsidRDefault="008E3C91" w:rsidP="008E3C91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8E3C91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E3C91">
        <w:rPr>
          <w:rFonts w:ascii="Arial" w:hAnsi="Arial" w:cs="Arial"/>
          <w:b/>
          <w:sz w:val="24"/>
          <w:szCs w:val="24"/>
          <w:u w:val="single"/>
        </w:rPr>
        <w:t xml:space="preserve">Zadanie 3. Dyski SSD wraz z adapterami dla Miejskiej Sieci Komputerowej </w:t>
      </w:r>
      <w:proofErr w:type="spellStart"/>
      <w:r w:rsidRPr="008E3C91">
        <w:rPr>
          <w:rFonts w:ascii="Arial" w:hAnsi="Arial" w:cs="Arial"/>
          <w:b/>
          <w:sz w:val="24"/>
          <w:szCs w:val="24"/>
          <w:u w:val="single"/>
        </w:rPr>
        <w:t>CzestMAN</w:t>
      </w:r>
      <w:proofErr w:type="spellEnd"/>
      <w:r w:rsidRPr="008E3C91">
        <w:rPr>
          <w:rFonts w:ascii="Arial" w:hAnsi="Arial" w:cs="Arial"/>
          <w:b/>
          <w:sz w:val="24"/>
          <w:szCs w:val="24"/>
          <w:u w:val="single"/>
        </w:rPr>
        <w:t>.</w:t>
      </w:r>
    </w:p>
    <w:p w:rsidR="008E3C91" w:rsidRPr="008E3C91" w:rsidRDefault="008E3C91" w:rsidP="008E3C9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Rozbudowa posiadanej infrastruktury pamięci masowej o wymienione poniżej elementy, o parametrach, z których każdy jest nie gorszy niż parametr wyspecyfikowany:</w:t>
      </w:r>
    </w:p>
    <w:p w:rsidR="008E3C91" w:rsidRPr="008E3C91" w:rsidRDefault="008E3C91" w:rsidP="008E3C9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Dysk twardy 2.5” - 48 szt.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Rodzaj dysku: SSD,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Pojemność dysku: min. 1 TB,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Interfejs: SATA III 6Gbps,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Minimalna szybkość zapisu: min. 500MB/s,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Minimalna szybkość odczytu: min. 500MB/s,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Zapis losowy: min. 82000 IOPS,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Odczyt losowy: min. 92000 IOPS,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Format: 2,5”,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sz w:val="24"/>
          <w:szCs w:val="24"/>
          <w:lang w:eastAsia="zh-CN"/>
        </w:rPr>
        <w:t xml:space="preserve">Niezawodność MTBF: min. 1 800 000 h, 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 w:rsidRPr="008E3C91">
        <w:rPr>
          <w:rFonts w:ascii="Arial" w:eastAsia="Times New Roman" w:hAnsi="Arial" w:cs="Arial"/>
          <w:sz w:val="24"/>
          <w:szCs w:val="24"/>
          <w:lang w:val="en-US" w:eastAsia="zh-CN"/>
        </w:rPr>
        <w:t>Żywotność</w:t>
      </w:r>
      <w:proofErr w:type="spellEnd"/>
      <w:r w:rsidRPr="008E3C91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TBW(</w:t>
      </w:r>
      <w:proofErr w:type="spellStart"/>
      <w:r w:rsidRPr="008E3C91">
        <w:rPr>
          <w:rFonts w:ascii="Arial" w:eastAsia="Times New Roman" w:hAnsi="Arial" w:cs="Arial"/>
          <w:sz w:val="24"/>
          <w:szCs w:val="24"/>
          <w:lang w:val="en-US" w:eastAsia="zh-CN"/>
        </w:rPr>
        <w:t>ang.</w:t>
      </w:r>
      <w:proofErr w:type="spellEnd"/>
      <w:r w:rsidRPr="008E3C91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total bytes written </w:t>
      </w:r>
      <w:proofErr w:type="spellStart"/>
      <w:r w:rsidRPr="008E3C91">
        <w:rPr>
          <w:rFonts w:ascii="Arial" w:eastAsia="Times New Roman" w:hAnsi="Arial" w:cs="Arial"/>
          <w:sz w:val="24"/>
          <w:szCs w:val="24"/>
          <w:lang w:val="en-US" w:eastAsia="zh-CN"/>
        </w:rPr>
        <w:t>lub</w:t>
      </w:r>
      <w:proofErr w:type="spellEnd"/>
      <w:r w:rsidRPr="008E3C91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terabytes written): min. 590 TB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Gwarancja: min. 60 miesięcy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Wszystkie dyski muszą pochodzić od tego samego producenta i być tego samego typu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Dyski muszą być kompatybilne z posiadanymi przez Zamawiającego rozwiązaniami opartymi o serwer klasy </w:t>
      </w:r>
      <w:proofErr w:type="spellStart"/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Huawei</w:t>
      </w:r>
      <w:proofErr w:type="spellEnd"/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5288 V3</w:t>
      </w:r>
    </w:p>
    <w:p w:rsidR="008E3C91" w:rsidRPr="008E3C91" w:rsidRDefault="008E3C91" w:rsidP="008E3C9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Adapter dla dysku SATA SSD 2.5” - 48 szt. 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Adapter umożliwia zamontowanie dysku SATA III 6Gbps SSD 2,5” w kieszeni przeznaczonej na dysk 3,5”,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Interfejs zewnętrzny jak i wewnętrzny: obsługa SATA III 6Gbps,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sz w:val="24"/>
          <w:szCs w:val="24"/>
          <w:lang w:eastAsia="zh-CN"/>
        </w:rPr>
        <w:t>Zewnętrzny konektor (3,5”) SATA:</w:t>
      </w:r>
    </w:p>
    <w:p w:rsidR="008E3C91" w:rsidRPr="008E3C91" w:rsidRDefault="008E3C91" w:rsidP="008E3C91">
      <w:pPr>
        <w:numPr>
          <w:ilvl w:val="1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Część zasilająca: 15 </w:t>
      </w:r>
      <w:proofErr w:type="spellStart"/>
      <w:r w:rsidRPr="008E3C91">
        <w:rPr>
          <w:rFonts w:ascii="Arial" w:eastAsia="Times New Roman" w:hAnsi="Arial" w:cs="Arial"/>
          <w:sz w:val="24"/>
          <w:szCs w:val="24"/>
          <w:lang w:eastAsia="zh-CN"/>
        </w:rPr>
        <w:t>pinów</w:t>
      </w:r>
      <w:proofErr w:type="spellEnd"/>
    </w:p>
    <w:p w:rsidR="008E3C91" w:rsidRPr="008E3C91" w:rsidRDefault="008E3C91" w:rsidP="008E3C91">
      <w:pPr>
        <w:numPr>
          <w:ilvl w:val="1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sz w:val="24"/>
          <w:szCs w:val="24"/>
          <w:lang w:eastAsia="zh-CN"/>
        </w:rPr>
        <w:t xml:space="preserve">Część dla danych: 7 </w:t>
      </w:r>
      <w:proofErr w:type="spellStart"/>
      <w:r w:rsidRPr="008E3C91">
        <w:rPr>
          <w:rFonts w:ascii="Arial" w:eastAsia="Times New Roman" w:hAnsi="Arial" w:cs="Arial"/>
          <w:sz w:val="24"/>
          <w:szCs w:val="24"/>
          <w:lang w:eastAsia="zh-CN"/>
        </w:rPr>
        <w:t>pinów</w:t>
      </w:r>
      <w:proofErr w:type="spellEnd"/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sz w:val="24"/>
          <w:szCs w:val="24"/>
          <w:lang w:eastAsia="zh-CN"/>
        </w:rPr>
        <w:t>Dodatkowe wymagania:</w:t>
      </w:r>
    </w:p>
    <w:p w:rsidR="008E3C91" w:rsidRPr="008E3C91" w:rsidRDefault="008E3C91" w:rsidP="008E3C91">
      <w:pPr>
        <w:numPr>
          <w:ilvl w:val="1"/>
          <w:numId w:val="28"/>
        </w:num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Adapter musi zapewnić identyczne jak dla dysku 3,5” umiejscowienie konektora SATA</w:t>
      </w:r>
    </w:p>
    <w:p w:rsidR="008E3C91" w:rsidRPr="008E3C91" w:rsidRDefault="008E3C91" w:rsidP="008E3C91">
      <w:pPr>
        <w:numPr>
          <w:ilvl w:val="1"/>
          <w:numId w:val="28"/>
        </w:num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Adapter musi posiadać identyczny rozstaw otworów montażowych jak dysk 3,5”</w:t>
      </w:r>
    </w:p>
    <w:p w:rsidR="008E3C91" w:rsidRPr="008E3C91" w:rsidRDefault="008E3C91" w:rsidP="008E3C91">
      <w:pPr>
        <w:numPr>
          <w:ilvl w:val="1"/>
          <w:numId w:val="28"/>
        </w:num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Adapter nie może mieć wymiarów większych od dysku 3,5”</w:t>
      </w:r>
    </w:p>
    <w:p w:rsidR="008E3C91" w:rsidRPr="008E3C91" w:rsidRDefault="008E3C91" w:rsidP="008E3C91">
      <w:pPr>
        <w:numPr>
          <w:ilvl w:val="1"/>
          <w:numId w:val="28"/>
        </w:num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Adapter musi być możliwy do zamontowania w kieszeni na dysk 3,5”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Wszystkie adaptery muszą pochodzić od tego samego producenta i być tego samego typu</w:t>
      </w:r>
    </w:p>
    <w:p w:rsidR="008E3C91" w:rsidRPr="008E3C91" w:rsidRDefault="008E3C91" w:rsidP="008E3C91">
      <w:pPr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Adaptery muszą być kompatybilne z posiadanymi przez Zamawiającego rozwiązaniami opartymi o serwer klasy </w:t>
      </w:r>
      <w:proofErr w:type="spellStart"/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Huawei</w:t>
      </w:r>
      <w:proofErr w:type="spellEnd"/>
      <w:r w:rsidRPr="008E3C9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5288 V3</w:t>
      </w:r>
    </w:p>
    <w:p w:rsidR="008E3C91" w:rsidRPr="008E3C91" w:rsidRDefault="008E3C91" w:rsidP="008E3C91">
      <w:pPr>
        <w:suppressAutoHyphens/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E3C91" w:rsidRPr="008E3C91" w:rsidRDefault="008E3C91" w:rsidP="008E3C9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E3C91" w:rsidRPr="008E3C91" w:rsidRDefault="008E3C91" w:rsidP="008E3C9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8E3C91" w:rsidRPr="008E3C91" w:rsidRDefault="008E3C91" w:rsidP="008E3C9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8E3C91" w:rsidRPr="008E3C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2E" w:rsidRDefault="001F252E">
      <w:pPr>
        <w:spacing w:after="0" w:line="240" w:lineRule="auto"/>
      </w:pPr>
      <w:r>
        <w:separator/>
      </w:r>
    </w:p>
  </w:endnote>
  <w:endnote w:type="continuationSeparator" w:id="0">
    <w:p w:rsidR="001F252E" w:rsidRDefault="001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D" w:rsidRDefault="001A30AD" w:rsidP="001A30AD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140335</wp:posOffset>
          </wp:positionV>
          <wp:extent cx="99060" cy="404495"/>
          <wp:effectExtent l="0" t="0" r="0" b="0"/>
          <wp:wrapNone/>
          <wp:docPr id="6" name="Obraz 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bCs/>
        <w:noProof/>
        <w:sz w:val="24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5" name="Obraz 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23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15pt;margin-top:6.55pt;width:42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1A30AD" w:rsidTr="00B71ED9">
      <w:tc>
        <w:tcPr>
          <w:tcW w:w="0" w:type="auto"/>
          <w:shd w:val="clear" w:color="auto" w:fill="auto"/>
          <w:vAlign w:val="center"/>
        </w:tcPr>
        <w:p w:rsidR="001A30AD" w:rsidRPr="00B44D15" w:rsidRDefault="001A30AD" w:rsidP="001A30AD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1A30AD" w:rsidRPr="00B7388A" w:rsidRDefault="001A30AD" w:rsidP="001A30AD">
          <w:pPr>
            <w:pStyle w:val="Bezodstpw"/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</w:t>
          </w:r>
          <w:r w:rsidRPr="00B7388A">
            <w:rPr>
              <w:rFonts w:ascii="Roboto Bk" w:hAnsi="Roboto Bk"/>
              <w:noProof/>
              <w:sz w:val="28"/>
              <w:szCs w:val="28"/>
            </w:rPr>
            <w:t>RK</w:t>
          </w:r>
        </w:p>
      </w:tc>
      <w:tc>
        <w:tcPr>
          <w:tcW w:w="0" w:type="auto"/>
          <w:shd w:val="clear" w:color="auto" w:fill="auto"/>
          <w:vAlign w:val="center"/>
        </w:tcPr>
        <w:p w:rsidR="001A30AD" w:rsidRPr="00AB1BF2" w:rsidRDefault="001A30AD" w:rsidP="001A30AD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1A30AD" w:rsidRPr="0099535B" w:rsidRDefault="001A30AD" w:rsidP="001A30AD">
          <w:pPr>
            <w:pStyle w:val="Bezodstpw"/>
            <w:jc w:val="center"/>
            <w:rPr>
              <w:noProof/>
            </w:rPr>
          </w:pPr>
        </w:p>
      </w:tc>
    </w:tr>
  </w:tbl>
  <w:p w:rsidR="001A30AD" w:rsidRPr="008F758E" w:rsidRDefault="001A30AD" w:rsidP="001A30A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Kanclerz Politechniki Częstochowskiej</w:t>
    </w:r>
  </w:p>
  <w:p w:rsidR="001A30AD" w:rsidRPr="008F758E" w:rsidRDefault="001A30AD" w:rsidP="001A30AD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3" name="Obraz 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58E">
      <w:rPr>
        <w:rFonts w:ascii="Roboto" w:hAnsi="Roboto"/>
        <w:sz w:val="24"/>
        <w:szCs w:val="24"/>
      </w:rPr>
      <w:t xml:space="preserve">ul. </w:t>
    </w:r>
    <w:r>
      <w:rPr>
        <w:rFonts w:ascii="Roboto" w:hAnsi="Roboto"/>
        <w:sz w:val="24"/>
        <w:szCs w:val="24"/>
      </w:rPr>
      <w:t>Gen. J.H. Dąbrowskiego 69</w:t>
    </w:r>
    <w:r w:rsidRPr="008F758E">
      <w:rPr>
        <w:rFonts w:ascii="Roboto" w:hAnsi="Roboto"/>
        <w:sz w:val="24"/>
        <w:szCs w:val="24"/>
      </w:rPr>
      <w:t>, 42-201 Częstochowa</w:t>
    </w:r>
  </w:p>
  <w:p w:rsidR="001A30AD" w:rsidRPr="00D57C24" w:rsidRDefault="001A30AD" w:rsidP="001A30AD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02 56,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kanclerz</w:t>
    </w:r>
    <w:r w:rsidRPr="008F758E">
      <w:rPr>
        <w:rFonts w:ascii="Roboto" w:hAnsi="Roboto"/>
        <w:sz w:val="24"/>
        <w:szCs w:val="24"/>
      </w:rPr>
      <w:t>@pcz.pl</w:t>
    </w:r>
  </w:p>
  <w:p w:rsidR="0095634B" w:rsidRPr="001A30AD" w:rsidRDefault="001A30AD" w:rsidP="001A30AD">
    <w:pPr>
      <w:pStyle w:val="Bezodstpw"/>
      <w:rPr>
        <w:rFonts w:ascii="Roboto" w:hAnsi="Roboto"/>
        <w:b/>
        <w:sz w:val="24"/>
        <w:szCs w:val="24"/>
      </w:rPr>
    </w:pPr>
    <w:r w:rsidRPr="00B7388A">
      <w:rPr>
        <w:rFonts w:ascii="Roboto" w:hAnsi="Roboto"/>
        <w:b/>
        <w:sz w:val="24"/>
        <w:szCs w:val="24"/>
      </w:rPr>
      <w:t>www.</w:t>
    </w:r>
    <w:r>
      <w:rPr>
        <w:rFonts w:ascii="Roboto" w:hAnsi="Roboto"/>
        <w:b/>
        <w:sz w:val="24"/>
        <w:szCs w:val="24"/>
      </w:rPr>
      <w:t>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2E" w:rsidRDefault="001F252E">
      <w:pPr>
        <w:spacing w:after="0" w:line="240" w:lineRule="auto"/>
      </w:pPr>
      <w:r>
        <w:separator/>
      </w:r>
    </w:p>
  </w:footnote>
  <w:footnote w:type="continuationSeparator" w:id="0">
    <w:p w:rsidR="001F252E" w:rsidRDefault="001F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D" w:rsidRPr="0062295F" w:rsidRDefault="001A30AD" w:rsidP="001A30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-163195</wp:posOffset>
          </wp:positionV>
          <wp:extent cx="2468880" cy="956945"/>
          <wp:effectExtent l="0" t="0" r="0" b="0"/>
          <wp:wrapNone/>
          <wp:docPr id="2" name="Obraz 2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732155</wp:posOffset>
              </wp:positionV>
              <wp:extent cx="5400675" cy="635"/>
              <wp:effectExtent l="17145" t="17780" r="1143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ACA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15pt;margin-top:57.65pt;width:42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" strokeweight="1.5pt"/>
          </w:pict>
        </mc:Fallback>
      </mc:AlternateContent>
    </w:r>
  </w:p>
  <w:p w:rsidR="001A30AD" w:rsidRDefault="001A30AD">
    <w:pPr>
      <w:pStyle w:val="Nagwek"/>
    </w:pPr>
  </w:p>
  <w:p w:rsidR="001A30AD" w:rsidRDefault="001A30AD">
    <w:pPr>
      <w:pStyle w:val="Nagwek"/>
    </w:pPr>
  </w:p>
  <w:p w:rsidR="001A30AD" w:rsidRDefault="001A30AD">
    <w:pPr>
      <w:pStyle w:val="Nagwek"/>
    </w:pPr>
  </w:p>
  <w:p w:rsidR="001A30AD" w:rsidRDefault="001A30AD">
    <w:pPr>
      <w:pStyle w:val="Nagwek"/>
    </w:pPr>
  </w:p>
  <w:p w:rsidR="001A30AD" w:rsidRDefault="001A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2D3A6D"/>
    <w:multiLevelType w:val="multilevel"/>
    <w:tmpl w:val="299E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D56F88"/>
    <w:multiLevelType w:val="hybridMultilevel"/>
    <w:tmpl w:val="E8105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144C9"/>
    <w:multiLevelType w:val="multilevel"/>
    <w:tmpl w:val="1A0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7F8746A"/>
    <w:multiLevelType w:val="multilevel"/>
    <w:tmpl w:val="D3D41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C5424"/>
    <w:multiLevelType w:val="multilevel"/>
    <w:tmpl w:val="535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711C4B"/>
    <w:multiLevelType w:val="hybridMultilevel"/>
    <w:tmpl w:val="601683C0"/>
    <w:lvl w:ilvl="0" w:tplc="738E73B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B2820"/>
    <w:multiLevelType w:val="hybridMultilevel"/>
    <w:tmpl w:val="2EFA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1AE0"/>
    <w:multiLevelType w:val="hybridMultilevel"/>
    <w:tmpl w:val="F69A28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50A8"/>
    <w:multiLevelType w:val="hybridMultilevel"/>
    <w:tmpl w:val="184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33B7"/>
    <w:multiLevelType w:val="multilevel"/>
    <w:tmpl w:val="594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DFB4D32"/>
    <w:multiLevelType w:val="hybridMultilevel"/>
    <w:tmpl w:val="8FD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27A08"/>
    <w:multiLevelType w:val="multilevel"/>
    <w:tmpl w:val="98C4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C43702"/>
    <w:multiLevelType w:val="hybridMultilevel"/>
    <w:tmpl w:val="E0A6F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4E3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846B3C"/>
    <w:multiLevelType w:val="multilevel"/>
    <w:tmpl w:val="68D63A86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■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3"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5">
      <w:numFmt w:val="bullet"/>
      <w:lvlText w:val="■"/>
      <w:lvlJc w:val="left"/>
      <w:pPr>
        <w:tabs>
          <w:tab w:val="num" w:pos="0"/>
        </w:tabs>
        <w:ind w:left="3960" w:hanging="360"/>
      </w:pPr>
      <w:rPr>
        <w:rFonts w:ascii="OpenSymbol" w:hAnsi="OpenSymbol" w:cs="OpenSymbol" w:hint="default"/>
      </w:rPr>
    </w:lvl>
    <w:lvl w:ilvl="6">
      <w:numFmt w:val="bullet"/>
      <w:lvlText w:val="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numFmt w:val="bullet"/>
      <w:lvlText w:val=""/>
      <w:lvlJc w:val="left"/>
      <w:pPr>
        <w:tabs>
          <w:tab w:val="num" w:pos="0"/>
        </w:tabs>
        <w:ind w:left="5400" w:hanging="360"/>
      </w:pPr>
      <w:rPr>
        <w:rFonts w:ascii="Wingdings 2" w:hAnsi="Wingdings 2" w:cs="Wingdings 2" w:hint="default"/>
      </w:rPr>
    </w:lvl>
    <w:lvl w:ilvl="8">
      <w:numFmt w:val="bullet"/>
      <w:lvlText w:val="■"/>
      <w:lvlJc w:val="left"/>
      <w:pPr>
        <w:tabs>
          <w:tab w:val="num" w:pos="0"/>
        </w:tabs>
        <w:ind w:left="612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87B2EDE"/>
    <w:multiLevelType w:val="hybridMultilevel"/>
    <w:tmpl w:val="BEAA1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61D7A"/>
    <w:multiLevelType w:val="hybridMultilevel"/>
    <w:tmpl w:val="F8BC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342A4"/>
    <w:multiLevelType w:val="hybridMultilevel"/>
    <w:tmpl w:val="B2BEC4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1C6D58"/>
    <w:multiLevelType w:val="multilevel"/>
    <w:tmpl w:val="459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3200E87"/>
    <w:multiLevelType w:val="multilevel"/>
    <w:tmpl w:val="113E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404448E"/>
    <w:multiLevelType w:val="hybridMultilevel"/>
    <w:tmpl w:val="84B8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B3824"/>
    <w:multiLevelType w:val="multilevel"/>
    <w:tmpl w:val="FF9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19C45D6"/>
    <w:multiLevelType w:val="hybridMultilevel"/>
    <w:tmpl w:val="CDBA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60CB1"/>
    <w:multiLevelType w:val="hybridMultilevel"/>
    <w:tmpl w:val="1B56137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683468E"/>
    <w:multiLevelType w:val="hybridMultilevel"/>
    <w:tmpl w:val="EDC40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07343"/>
    <w:multiLevelType w:val="multilevel"/>
    <w:tmpl w:val="4AD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ABD6EFF"/>
    <w:multiLevelType w:val="multilevel"/>
    <w:tmpl w:val="F8DA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3"/>
  </w:num>
  <w:num w:numId="5">
    <w:abstractNumId w:val="25"/>
  </w:num>
  <w:num w:numId="6">
    <w:abstractNumId w:val="9"/>
  </w:num>
  <w:num w:numId="7">
    <w:abstractNumId w:val="13"/>
  </w:num>
  <w:num w:numId="8">
    <w:abstractNumId w:val="21"/>
  </w:num>
  <w:num w:numId="9">
    <w:abstractNumId w:val="2"/>
  </w:num>
  <w:num w:numId="10">
    <w:abstractNumId w:val="16"/>
  </w:num>
  <w:num w:numId="11">
    <w:abstractNumId w:val="7"/>
  </w:num>
  <w:num w:numId="12">
    <w:abstractNumId w:val="17"/>
  </w:num>
  <w:num w:numId="13">
    <w:abstractNumId w:val="14"/>
  </w:num>
  <w:num w:numId="14">
    <w:abstractNumId w:val="4"/>
  </w:num>
  <w:num w:numId="15">
    <w:abstractNumId w:val="24"/>
  </w:num>
  <w:num w:numId="16">
    <w:abstractNumId w:val="18"/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27"/>
  </w:num>
  <w:num w:numId="22">
    <w:abstractNumId w:val="22"/>
  </w:num>
  <w:num w:numId="23">
    <w:abstractNumId w:val="26"/>
  </w:num>
  <w:num w:numId="24">
    <w:abstractNumId w:val="3"/>
  </w:num>
  <w:num w:numId="25">
    <w:abstractNumId w:val="12"/>
  </w:num>
  <w:num w:numId="26">
    <w:abstractNumId w:val="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E"/>
    <w:rsid w:val="00112D69"/>
    <w:rsid w:val="001549B8"/>
    <w:rsid w:val="00172B2A"/>
    <w:rsid w:val="001A30AD"/>
    <w:rsid w:val="001F252E"/>
    <w:rsid w:val="00237526"/>
    <w:rsid w:val="002C4978"/>
    <w:rsid w:val="002D2869"/>
    <w:rsid w:val="00374C20"/>
    <w:rsid w:val="003A58EE"/>
    <w:rsid w:val="00400330"/>
    <w:rsid w:val="00541A1B"/>
    <w:rsid w:val="00655780"/>
    <w:rsid w:val="00767A74"/>
    <w:rsid w:val="00772B80"/>
    <w:rsid w:val="007E036C"/>
    <w:rsid w:val="008B2C6E"/>
    <w:rsid w:val="008E3C91"/>
    <w:rsid w:val="009B49A8"/>
    <w:rsid w:val="009B7942"/>
    <w:rsid w:val="00A35D57"/>
    <w:rsid w:val="00A758FF"/>
    <w:rsid w:val="00AC4721"/>
    <w:rsid w:val="00C81311"/>
    <w:rsid w:val="00CF4DF5"/>
    <w:rsid w:val="00E1633C"/>
    <w:rsid w:val="00E86EBA"/>
    <w:rsid w:val="00F051C4"/>
    <w:rsid w:val="00F526EE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009F0"/>
  <w15:chartTrackingRefBased/>
  <w15:docId w15:val="{3846B479-5C58-4AAA-ACB0-29E3194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C6E"/>
  </w:style>
  <w:style w:type="paragraph" w:styleId="Nagwek1">
    <w:name w:val="heading 1"/>
    <w:basedOn w:val="Normalny"/>
    <w:next w:val="Normalny"/>
    <w:link w:val="Nagwek1Znak"/>
    <w:qFormat/>
    <w:rsid w:val="007E03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C6E"/>
  </w:style>
  <w:style w:type="paragraph" w:styleId="Akapitzlist">
    <w:name w:val="List Paragraph"/>
    <w:basedOn w:val="Normalny"/>
    <w:uiPriority w:val="34"/>
    <w:qFormat/>
    <w:rsid w:val="008B2C6E"/>
    <w:pPr>
      <w:ind w:left="720"/>
      <w:contextualSpacing/>
    </w:pPr>
  </w:style>
  <w:style w:type="table" w:styleId="Tabela-Siatka">
    <w:name w:val="Table Grid"/>
    <w:basedOn w:val="Standardowy"/>
    <w:uiPriority w:val="39"/>
    <w:rsid w:val="008B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E03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7E036C"/>
    <w:rPr>
      <w:strike w:val="0"/>
      <w:dstrike w:val="0"/>
      <w:color w:val="005FB3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1A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0AD"/>
  </w:style>
  <w:style w:type="paragraph" w:styleId="Bezodstpw">
    <w:name w:val="No Spacing"/>
    <w:uiPriority w:val="1"/>
    <w:qFormat/>
    <w:rsid w:val="001A30AD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Wierzba</dc:creator>
  <cp:keywords/>
  <dc:description/>
  <cp:lastModifiedBy>Joanna Podsiadlik</cp:lastModifiedBy>
  <cp:revision>4</cp:revision>
  <cp:lastPrinted>2022-08-02T07:36:00Z</cp:lastPrinted>
  <dcterms:created xsi:type="dcterms:W3CDTF">2022-08-02T07:21:00Z</dcterms:created>
  <dcterms:modified xsi:type="dcterms:W3CDTF">2022-08-02T07:37:00Z</dcterms:modified>
</cp:coreProperties>
</file>