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A46A8C" w14:textId="73BCC728" w:rsidR="002E504F" w:rsidRPr="00A53EFB" w:rsidRDefault="00F72FC1" w:rsidP="002C3956">
      <w:pPr>
        <w:spacing w:before="0" w:after="0" w:line="360" w:lineRule="auto"/>
        <w:ind w:firstLine="0"/>
        <w:contextualSpacing/>
        <w:rPr>
          <w:sz w:val="22"/>
          <w:szCs w:val="22"/>
          <w:lang w:val="en-US"/>
        </w:rPr>
      </w:pPr>
      <w:r w:rsidRPr="00A53EFB">
        <w:rPr>
          <w:sz w:val="22"/>
          <w:szCs w:val="22"/>
          <w:lang w:val="en-US"/>
        </w:rPr>
        <w:t>Jan Nowak</w:t>
      </w:r>
      <w:commentRangeStart w:id="0"/>
      <w:commentRangeEnd w:id="0"/>
      <w:r w:rsidR="001B471D" w:rsidRPr="00A53EFB">
        <w:rPr>
          <w:rStyle w:val="Odwoaniedokomentarza"/>
          <w:sz w:val="22"/>
          <w:szCs w:val="22"/>
        </w:rPr>
        <w:commentReference w:id="0"/>
      </w:r>
    </w:p>
    <w:p w14:paraId="2C3140AB" w14:textId="77777777" w:rsidR="002C3956" w:rsidRPr="00A53EFB" w:rsidRDefault="002C3956" w:rsidP="002C3956">
      <w:pPr>
        <w:spacing w:before="0" w:after="0" w:line="360" w:lineRule="auto"/>
        <w:ind w:firstLine="0"/>
        <w:contextualSpacing/>
        <w:rPr>
          <w:sz w:val="22"/>
          <w:szCs w:val="22"/>
          <w:lang w:val="en-US"/>
        </w:rPr>
      </w:pPr>
    </w:p>
    <w:p w14:paraId="75DBC618" w14:textId="77777777" w:rsidR="003438CC" w:rsidRPr="00A53EFB" w:rsidRDefault="00F72FC1" w:rsidP="002C3956">
      <w:pPr>
        <w:spacing w:before="0" w:after="0" w:line="360" w:lineRule="auto"/>
        <w:ind w:firstLine="0"/>
        <w:contextualSpacing/>
        <w:jc w:val="left"/>
        <w:rPr>
          <w:sz w:val="22"/>
          <w:szCs w:val="22"/>
          <w:lang w:val="en-GB"/>
        </w:rPr>
      </w:pPr>
      <w:r w:rsidRPr="00A53EFB">
        <w:rPr>
          <w:sz w:val="22"/>
          <w:szCs w:val="22"/>
          <w:lang w:val="en-GB"/>
        </w:rPr>
        <w:t xml:space="preserve">TITLE: SAMPLE FOR “ZADANIE </w:t>
      </w:r>
      <w:r w:rsidR="00B3468E" w:rsidRPr="00A53EFB">
        <w:rPr>
          <w:sz w:val="22"/>
          <w:szCs w:val="22"/>
          <w:lang w:val="en-GB"/>
        </w:rPr>
        <w:t>1</w:t>
      </w:r>
      <w:r w:rsidRPr="00A53EFB">
        <w:rPr>
          <w:sz w:val="22"/>
          <w:szCs w:val="22"/>
          <w:lang w:val="en-GB"/>
        </w:rPr>
        <w:t xml:space="preserve">” – </w:t>
      </w:r>
    </w:p>
    <w:p w14:paraId="22984997" w14:textId="0070E8AF" w:rsidR="00E739F6" w:rsidRPr="00A53EFB" w:rsidRDefault="00F72FC1" w:rsidP="002C3956">
      <w:pPr>
        <w:spacing w:before="0" w:after="0" w:line="360" w:lineRule="auto"/>
        <w:ind w:firstLine="0"/>
        <w:contextualSpacing/>
        <w:jc w:val="left"/>
        <w:rPr>
          <w:sz w:val="22"/>
          <w:szCs w:val="22"/>
          <w:lang w:val="en-GB"/>
        </w:rPr>
      </w:pPr>
      <w:r w:rsidRPr="00A53EFB">
        <w:rPr>
          <w:sz w:val="22"/>
          <w:szCs w:val="22"/>
          <w:lang w:val="en-GB"/>
        </w:rPr>
        <w:t>DEGREE OF DIFFICULTY 66–80%</w:t>
      </w:r>
    </w:p>
    <w:p w14:paraId="6050C3F0" w14:textId="77777777" w:rsidR="006E2F8F" w:rsidRPr="00A53EFB" w:rsidRDefault="006E2F8F" w:rsidP="002C3956">
      <w:pPr>
        <w:spacing w:before="0" w:after="0" w:line="360" w:lineRule="auto"/>
        <w:ind w:firstLine="0"/>
        <w:contextualSpacing/>
        <w:jc w:val="left"/>
        <w:rPr>
          <w:sz w:val="22"/>
          <w:szCs w:val="22"/>
          <w:lang w:val="en-US"/>
        </w:rPr>
      </w:pPr>
    </w:p>
    <w:p w14:paraId="2EC6F243" w14:textId="77777777" w:rsidR="00C92697" w:rsidRDefault="006E2F8F" w:rsidP="002C3956">
      <w:pPr>
        <w:spacing w:before="0" w:after="0" w:line="360" w:lineRule="auto"/>
        <w:ind w:firstLine="0"/>
        <w:contextualSpacing/>
        <w:jc w:val="left"/>
        <w:rPr>
          <w:sz w:val="22"/>
          <w:szCs w:val="22"/>
          <w:lang w:val="en-US"/>
        </w:rPr>
      </w:pPr>
      <w:commentRangeStart w:id="1"/>
      <w:r w:rsidRPr="00A53EFB">
        <w:rPr>
          <w:sz w:val="22"/>
          <w:szCs w:val="22"/>
          <w:lang w:val="en-US"/>
        </w:rPr>
        <w:t xml:space="preserve">Coal mining in Upper Silesian Coal Basin (USCB) is conducted in the conditions of frequent mining tremors. The longwall roof support significantly impacts the safety and efficacy of the mining process. The paper presents the assessment of mining tremor hazard, the procedure of designing powered roof supports used in the conditions of tremors, and a method of evaluating supports’ resistance to dynamic overloads. </w:t>
      </w:r>
    </w:p>
    <w:p w14:paraId="5694B9DD" w14:textId="38B5BAAB" w:rsidR="006E2F8F" w:rsidRPr="00A53EFB" w:rsidRDefault="006E2F8F" w:rsidP="002C3956">
      <w:pPr>
        <w:spacing w:before="0" w:after="0" w:line="360" w:lineRule="auto"/>
        <w:ind w:firstLine="0"/>
        <w:contextualSpacing/>
        <w:jc w:val="left"/>
        <w:rPr>
          <w:sz w:val="22"/>
          <w:szCs w:val="22"/>
          <w:lang w:val="en-US"/>
        </w:rPr>
      </w:pPr>
      <w:r w:rsidRPr="00A53EFB">
        <w:rPr>
          <w:sz w:val="22"/>
          <w:szCs w:val="22"/>
          <w:lang w:val="en-US"/>
        </w:rPr>
        <w:t xml:space="preserve">The research was based on analyses carried out by the authors on the data collected during the works carried out by the Department of Extraction Technologies, Rockbursts, and Mining Support. The data was analysed using descriptive statistics. </w:t>
      </w:r>
    </w:p>
    <w:p w14:paraId="4C677478" w14:textId="77777777" w:rsidR="004430E5" w:rsidRPr="00A53EFB" w:rsidRDefault="004430E5" w:rsidP="002C3956">
      <w:pPr>
        <w:spacing w:before="0" w:after="0" w:line="360" w:lineRule="auto"/>
        <w:ind w:firstLine="0"/>
        <w:contextualSpacing/>
        <w:jc w:val="left"/>
        <w:rPr>
          <w:sz w:val="22"/>
          <w:szCs w:val="22"/>
          <w:lang w:val="en-US"/>
        </w:rPr>
      </w:pPr>
    </w:p>
    <w:p w14:paraId="213B364B" w14:textId="03937E78" w:rsidR="003438CC" w:rsidRPr="00A53EFB" w:rsidRDefault="006E2F8F" w:rsidP="002C3956">
      <w:pPr>
        <w:spacing w:before="0" w:after="0" w:line="360" w:lineRule="auto"/>
        <w:ind w:firstLine="0"/>
        <w:contextualSpacing/>
        <w:jc w:val="left"/>
        <w:rPr>
          <w:sz w:val="22"/>
          <w:szCs w:val="22"/>
          <w:lang w:val="en-US"/>
        </w:rPr>
      </w:pPr>
      <w:r w:rsidRPr="00A53EFB">
        <w:rPr>
          <w:sz w:val="22"/>
          <w:szCs w:val="22"/>
          <w:lang w:val="en-US"/>
        </w:rPr>
        <w:t>Key words: powered roof support, dynamic overloads, mining tremor hazard</w:t>
      </w:r>
      <w:commentRangeEnd w:id="1"/>
      <w:r w:rsidRPr="00A53EFB">
        <w:rPr>
          <w:rStyle w:val="Odwoaniedokomentarza"/>
          <w:sz w:val="22"/>
          <w:szCs w:val="22"/>
        </w:rPr>
        <w:commentReference w:id="1"/>
      </w:r>
    </w:p>
    <w:p w14:paraId="36A26758" w14:textId="77777777" w:rsidR="006E2F8F" w:rsidRPr="00A53EFB" w:rsidRDefault="006E2F8F" w:rsidP="002C3956">
      <w:pPr>
        <w:spacing w:before="0" w:after="0" w:line="360" w:lineRule="auto"/>
        <w:ind w:firstLine="0"/>
        <w:contextualSpacing/>
        <w:jc w:val="left"/>
        <w:rPr>
          <w:sz w:val="22"/>
          <w:szCs w:val="22"/>
          <w:lang w:val="en-US"/>
        </w:rPr>
      </w:pPr>
    </w:p>
    <w:p w14:paraId="43DD638D" w14:textId="77777777" w:rsidR="001A091B" w:rsidRPr="00A53EFB" w:rsidRDefault="00F72FC1" w:rsidP="002C3956">
      <w:pPr>
        <w:spacing w:before="0" w:after="0" w:line="360" w:lineRule="auto"/>
        <w:ind w:firstLine="0"/>
        <w:contextualSpacing/>
        <w:rPr>
          <w:sz w:val="22"/>
          <w:szCs w:val="22"/>
          <w:lang w:val="en-GB"/>
        </w:rPr>
      </w:pPr>
      <w:bookmarkStart w:id="2" w:name="OLE_LINK10"/>
      <w:bookmarkStart w:id="3" w:name="OLE_LINK11"/>
      <w:r w:rsidRPr="00A53EFB">
        <w:rPr>
          <w:sz w:val="22"/>
          <w:szCs w:val="22"/>
          <w:lang w:val="en-GB"/>
        </w:rPr>
        <w:t>1. INTRODUCTION</w:t>
      </w:r>
    </w:p>
    <w:p w14:paraId="1ED0FF3F" w14:textId="182D77AC" w:rsidR="006E2F8F" w:rsidRPr="00A53EFB" w:rsidRDefault="006E2F8F" w:rsidP="002C3956">
      <w:pPr>
        <w:pStyle w:val="Paragraph"/>
        <w:spacing w:line="360" w:lineRule="auto"/>
        <w:ind w:firstLine="0"/>
        <w:contextualSpacing/>
        <w:rPr>
          <w:sz w:val="22"/>
          <w:szCs w:val="22"/>
          <w:lang w:val="en-GB"/>
        </w:rPr>
      </w:pPr>
      <w:r w:rsidRPr="00A53EFB">
        <w:rPr>
          <w:sz w:val="22"/>
          <w:szCs w:val="22"/>
          <w:lang w:val="en-GB"/>
        </w:rPr>
        <w:t xml:space="preserve">Powered roof supports are placed on the market in compliance with the requirements of European Union Directives A new powered roof support (PRS) must </w:t>
      </w:r>
      <w:r w:rsidR="002C3956" w:rsidRPr="00A53EFB">
        <w:rPr>
          <w:sz w:val="22"/>
          <w:szCs w:val="22"/>
          <w:lang w:val="en-GB"/>
        </w:rPr>
        <w:t>fulfil</w:t>
      </w:r>
      <w:r w:rsidRPr="00A53EFB">
        <w:rPr>
          <w:sz w:val="22"/>
          <w:szCs w:val="22"/>
          <w:lang w:val="en-GB"/>
        </w:rPr>
        <w:t xml:space="preserve"> the requirements of European Union Directives and harmonized Polish standards. The basic standards of the EN 1804 series that define the mechanical requirements for PRS exclude their application in areas threatened with mining tremors. Polish standards are complemented by the current regulations on occupational health and safety of the relevant Minister [1]. They introduce the requirement for the PRS to be especially protected in conditions of mining tremors hazard. Part of the protection strategy is to determine the safe range of support operation height and to select overload protection means for specific mining and technical condi</w:t>
      </w:r>
      <w:r w:rsidRPr="00A53EFB">
        <w:rPr>
          <w:sz w:val="22"/>
          <w:szCs w:val="22"/>
          <w:lang w:val="en-GB"/>
        </w:rPr>
        <w:lastRenderedPageBreak/>
        <w:t xml:space="preserve">tions [2]. One of the most common methods protecting against dynamic overload involves installing hydraulic valves that limit the pressure in the leg piston space to an acceptable level considering the mechanical strength of a given structure. In other words, the support needs to yield when the dynamic phenomenon occurs. </w:t>
      </w:r>
    </w:p>
    <w:p w14:paraId="52DCDCA4" w14:textId="77777777" w:rsidR="006E2F8F" w:rsidRPr="00A53EFB" w:rsidRDefault="006E2F8F" w:rsidP="001B471D">
      <w:pPr>
        <w:pStyle w:val="Paragraph"/>
        <w:spacing w:line="360" w:lineRule="auto"/>
        <w:ind w:firstLine="0"/>
        <w:contextualSpacing/>
        <w:rPr>
          <w:sz w:val="22"/>
          <w:szCs w:val="22"/>
          <w:lang w:val="en-GB"/>
        </w:rPr>
      </w:pPr>
      <w:r w:rsidRPr="00A53EFB">
        <w:rPr>
          <w:sz w:val="22"/>
          <w:szCs w:val="22"/>
          <w:lang w:val="en-GB"/>
        </w:rPr>
        <w:t>The yielding protection method used by the Central Mining Institute (GIG) is an analytical method based on selected parameters:</w:t>
      </w:r>
    </w:p>
    <w:p w14:paraId="2A67CE8E" w14:textId="17984BD0" w:rsidR="00C92697" w:rsidRDefault="00C92697" w:rsidP="002C3956">
      <w:pPr>
        <w:pStyle w:val="Paragraph"/>
        <w:numPr>
          <w:ilvl w:val="0"/>
          <w:numId w:val="21"/>
        </w:numPr>
        <w:spacing w:line="360" w:lineRule="auto"/>
        <w:ind w:left="426"/>
        <w:contextualSpacing/>
        <w:rPr>
          <w:sz w:val="22"/>
          <w:szCs w:val="22"/>
          <w:lang w:val="en-GB"/>
        </w:rPr>
      </w:pPr>
      <w:r w:rsidRPr="00A53EFB">
        <w:rPr>
          <w:sz w:val="22"/>
          <w:szCs w:val="22"/>
          <w:lang w:val="en-GB"/>
        </w:rPr>
        <w:t>operational parameters</w:t>
      </w:r>
      <w:r>
        <w:rPr>
          <w:sz w:val="22"/>
          <w:szCs w:val="22"/>
          <w:lang w:val="en-GB"/>
        </w:rPr>
        <w:t>,</w:t>
      </w:r>
      <w:r w:rsidRPr="00A53EFB">
        <w:rPr>
          <w:sz w:val="22"/>
          <w:szCs w:val="22"/>
          <w:lang w:val="en-GB"/>
        </w:rPr>
        <w:t xml:space="preserve"> </w:t>
      </w:r>
    </w:p>
    <w:p w14:paraId="7E0967BA" w14:textId="69C20384" w:rsidR="006E2F8F" w:rsidRPr="00A53EFB" w:rsidRDefault="006E2F8F" w:rsidP="002C3956">
      <w:pPr>
        <w:pStyle w:val="Paragraph"/>
        <w:numPr>
          <w:ilvl w:val="0"/>
          <w:numId w:val="21"/>
        </w:numPr>
        <w:spacing w:line="360" w:lineRule="auto"/>
        <w:ind w:left="426"/>
        <w:contextualSpacing/>
        <w:rPr>
          <w:sz w:val="22"/>
          <w:szCs w:val="22"/>
          <w:lang w:val="en-GB"/>
        </w:rPr>
      </w:pPr>
      <w:r w:rsidRPr="00A53EFB">
        <w:rPr>
          <w:sz w:val="22"/>
          <w:szCs w:val="22"/>
          <w:lang w:val="en-GB"/>
        </w:rPr>
        <w:t xml:space="preserve">mining parameters – </w:t>
      </w:r>
      <w:commentRangeStart w:id="4"/>
      <w:r w:rsidRPr="00A53EFB">
        <w:rPr>
          <w:iCs/>
          <w:sz w:val="22"/>
          <w:szCs w:val="22"/>
          <w:lang w:val="en-GB"/>
        </w:rPr>
        <w:t>n</w:t>
      </w:r>
      <w:r w:rsidRPr="00A53EFB">
        <w:rPr>
          <w:iCs/>
          <w:sz w:val="22"/>
          <w:szCs w:val="22"/>
          <w:vertAlign w:val="subscript"/>
          <w:lang w:val="en-GB"/>
        </w:rPr>
        <w:t>tz</w:t>
      </w:r>
      <w:commentRangeEnd w:id="4"/>
      <w:r w:rsidR="002C3956" w:rsidRPr="00A53EFB">
        <w:rPr>
          <w:rStyle w:val="Odwoaniedokomentarza"/>
          <w:sz w:val="22"/>
          <w:szCs w:val="22"/>
          <w:lang w:val="pl-PL" w:eastAsia="pl-PL"/>
        </w:rPr>
        <w:commentReference w:id="4"/>
      </w:r>
      <w:r w:rsidRPr="00A53EFB">
        <w:rPr>
          <w:sz w:val="22"/>
          <w:szCs w:val="22"/>
          <w:lang w:val="en-GB"/>
        </w:rPr>
        <w:t xml:space="preserve"> </w:t>
      </w:r>
      <w:r w:rsidRPr="00A53EFB">
        <w:rPr>
          <w:bCs/>
          <w:sz w:val="22"/>
          <w:szCs w:val="22"/>
          <w:lang w:val="en-GB"/>
        </w:rPr>
        <w:t>load coefficient</w:t>
      </w:r>
      <w:r w:rsidRPr="00A53EFB">
        <w:rPr>
          <w:sz w:val="22"/>
          <w:szCs w:val="22"/>
          <w:lang w:val="en-GB"/>
        </w:rPr>
        <w:t xml:space="preserve"> and </w:t>
      </w:r>
      <w:r w:rsidRPr="00A53EFB">
        <w:rPr>
          <w:i/>
          <w:sz w:val="22"/>
          <w:szCs w:val="22"/>
          <w:lang w:val="en-GB"/>
        </w:rPr>
        <w:t>g</w:t>
      </w:r>
      <w:r w:rsidRPr="00A53EFB">
        <w:rPr>
          <w:sz w:val="22"/>
          <w:szCs w:val="22"/>
          <w:lang w:val="en-GB"/>
        </w:rPr>
        <w:t xml:space="preserve"> roof bearing capacity index</w:t>
      </w:r>
      <w:r w:rsidR="00C92697">
        <w:rPr>
          <w:sz w:val="22"/>
          <w:szCs w:val="22"/>
          <w:lang w:val="en-GB"/>
        </w:rPr>
        <w:t>,</w:t>
      </w:r>
    </w:p>
    <w:p w14:paraId="50AFDB20" w14:textId="77777777" w:rsidR="00C92697" w:rsidRDefault="006E2F8F" w:rsidP="002C3956">
      <w:pPr>
        <w:pStyle w:val="Paragraph"/>
        <w:numPr>
          <w:ilvl w:val="0"/>
          <w:numId w:val="21"/>
        </w:numPr>
        <w:spacing w:line="360" w:lineRule="auto"/>
        <w:ind w:left="426"/>
        <w:contextualSpacing/>
        <w:rPr>
          <w:sz w:val="22"/>
          <w:szCs w:val="22"/>
          <w:lang w:val="en-GB"/>
        </w:rPr>
      </w:pPr>
      <w:r w:rsidRPr="00A53EFB">
        <w:rPr>
          <w:sz w:val="22"/>
          <w:szCs w:val="22"/>
          <w:lang w:val="en-GB"/>
        </w:rPr>
        <w:t xml:space="preserve">technical parameters of the support − kinematics, diameters of the legs used, load bearing capacity: </w:t>
      </w:r>
    </w:p>
    <w:p w14:paraId="25C9E83F" w14:textId="77777777" w:rsidR="00C92697" w:rsidRDefault="006E2F8F" w:rsidP="00C92697">
      <w:pPr>
        <w:pStyle w:val="Paragraph"/>
        <w:numPr>
          <w:ilvl w:val="0"/>
          <w:numId w:val="24"/>
        </w:numPr>
        <w:spacing w:line="360" w:lineRule="auto"/>
        <w:contextualSpacing/>
        <w:rPr>
          <w:sz w:val="22"/>
          <w:szCs w:val="22"/>
          <w:lang w:val="en-GB"/>
        </w:rPr>
      </w:pPr>
      <w:r w:rsidRPr="00A53EFB">
        <w:rPr>
          <w:sz w:val="22"/>
          <w:szCs w:val="22"/>
          <w:lang w:val="en-GB"/>
        </w:rPr>
        <w:t xml:space="preserve">initial, </w:t>
      </w:r>
    </w:p>
    <w:p w14:paraId="10723045" w14:textId="77777777" w:rsidR="00C92697" w:rsidRDefault="006E2F8F" w:rsidP="00C92697">
      <w:pPr>
        <w:pStyle w:val="Paragraph"/>
        <w:numPr>
          <w:ilvl w:val="0"/>
          <w:numId w:val="24"/>
        </w:numPr>
        <w:spacing w:line="360" w:lineRule="auto"/>
        <w:contextualSpacing/>
        <w:rPr>
          <w:sz w:val="22"/>
          <w:szCs w:val="22"/>
          <w:lang w:val="en-GB"/>
        </w:rPr>
      </w:pPr>
      <w:r w:rsidRPr="00A53EFB">
        <w:rPr>
          <w:sz w:val="22"/>
          <w:szCs w:val="22"/>
          <w:lang w:val="en-GB"/>
        </w:rPr>
        <w:t xml:space="preserve">working, </w:t>
      </w:r>
    </w:p>
    <w:p w14:paraId="4AA0CD33" w14:textId="4DDF7401" w:rsidR="00C92697" w:rsidRDefault="006E2F8F" w:rsidP="00C92697">
      <w:pPr>
        <w:pStyle w:val="Paragraph"/>
        <w:numPr>
          <w:ilvl w:val="0"/>
          <w:numId w:val="24"/>
        </w:numPr>
        <w:spacing w:line="360" w:lineRule="auto"/>
        <w:contextualSpacing/>
        <w:rPr>
          <w:sz w:val="22"/>
          <w:szCs w:val="22"/>
          <w:lang w:val="en-GB"/>
        </w:rPr>
      </w:pPr>
      <w:r w:rsidRPr="00A53EFB">
        <w:rPr>
          <w:sz w:val="22"/>
          <w:szCs w:val="22"/>
          <w:lang w:val="en-GB"/>
        </w:rPr>
        <w:t>nominal</w:t>
      </w:r>
      <w:r w:rsidR="00C92697">
        <w:rPr>
          <w:sz w:val="22"/>
          <w:szCs w:val="22"/>
          <w:lang w:val="en-GB"/>
        </w:rPr>
        <w:t>,</w:t>
      </w:r>
      <w:r w:rsidRPr="00A53EFB">
        <w:rPr>
          <w:sz w:val="22"/>
          <w:szCs w:val="22"/>
          <w:lang w:val="en-GB"/>
        </w:rPr>
        <w:t xml:space="preserve"> </w:t>
      </w:r>
    </w:p>
    <w:p w14:paraId="468DC214" w14:textId="2C40BD09" w:rsidR="006E2F8F" w:rsidRPr="00A53EFB" w:rsidRDefault="006E2F8F" w:rsidP="002C3956">
      <w:pPr>
        <w:pStyle w:val="Paragraph"/>
        <w:numPr>
          <w:ilvl w:val="0"/>
          <w:numId w:val="21"/>
        </w:numPr>
        <w:spacing w:line="360" w:lineRule="auto"/>
        <w:ind w:left="426"/>
        <w:contextualSpacing/>
        <w:rPr>
          <w:sz w:val="22"/>
          <w:szCs w:val="22"/>
          <w:lang w:val="en-GB"/>
        </w:rPr>
      </w:pPr>
      <w:r w:rsidRPr="00A53EFB">
        <w:rPr>
          <w:i/>
          <w:sz w:val="22"/>
          <w:szCs w:val="22"/>
          <w:lang w:val="en-GB"/>
        </w:rPr>
        <w:t>k</w:t>
      </w:r>
      <w:r w:rsidRPr="00A53EFB">
        <w:rPr>
          <w:sz w:val="22"/>
          <w:szCs w:val="22"/>
          <w:lang w:val="en-GB"/>
        </w:rPr>
        <w:t xml:space="preserve"> safety factor coefficient and protection applied by hydraulic valves. </w:t>
      </w:r>
    </w:p>
    <w:p w14:paraId="475B494A" w14:textId="47A2B743" w:rsidR="006E2F8F" w:rsidRPr="00A53EFB" w:rsidRDefault="006E2F8F" w:rsidP="002C3956">
      <w:pPr>
        <w:pStyle w:val="Paragraph"/>
        <w:spacing w:line="360" w:lineRule="auto"/>
        <w:contextualSpacing/>
        <w:rPr>
          <w:sz w:val="22"/>
          <w:szCs w:val="22"/>
          <w:lang w:val="en-GB"/>
        </w:rPr>
      </w:pPr>
      <w:r w:rsidRPr="00A53EFB">
        <w:rPr>
          <w:sz w:val="22"/>
          <w:szCs w:val="22"/>
          <w:lang w:val="en-GB"/>
        </w:rPr>
        <w:t>In this paper, the current state of the operating powered roof support has been described using statistical methods. The analysis was focused on PRS technical parameters and operational conditions, based on the collected database for the years 2016–2019.</w:t>
      </w:r>
    </w:p>
    <w:p w14:paraId="26D1F018" w14:textId="77777777" w:rsidR="00F72FC1" w:rsidRPr="00A53EFB" w:rsidRDefault="00F72FC1" w:rsidP="002C3956">
      <w:pPr>
        <w:spacing w:before="0" w:after="0" w:line="360" w:lineRule="auto"/>
        <w:contextualSpacing/>
        <w:rPr>
          <w:sz w:val="22"/>
          <w:szCs w:val="22"/>
          <w:lang w:val="en-GB"/>
        </w:rPr>
      </w:pPr>
      <w:bookmarkStart w:id="5" w:name="OLE_LINK12"/>
      <w:bookmarkEnd w:id="2"/>
      <w:bookmarkEnd w:id="3"/>
    </w:p>
    <w:p w14:paraId="5EF494B2" w14:textId="2002ACB9" w:rsidR="001A091B" w:rsidRPr="00A53EFB" w:rsidRDefault="00F72FC1" w:rsidP="00485B37">
      <w:pPr>
        <w:spacing w:before="0" w:after="0" w:line="360" w:lineRule="auto"/>
        <w:ind w:firstLine="0"/>
        <w:contextualSpacing/>
        <w:jc w:val="left"/>
        <w:rPr>
          <w:sz w:val="22"/>
          <w:szCs w:val="22"/>
          <w:lang w:val="en-GB"/>
        </w:rPr>
      </w:pPr>
      <w:r w:rsidRPr="00A53EFB">
        <w:rPr>
          <w:sz w:val="22"/>
          <w:szCs w:val="22"/>
          <w:lang w:val="en-GB"/>
        </w:rPr>
        <w:t xml:space="preserve">2. </w:t>
      </w:r>
      <w:r w:rsidR="006E2F8F" w:rsidRPr="00A53EFB">
        <w:rPr>
          <w:sz w:val="22"/>
          <w:szCs w:val="22"/>
          <w:lang w:val="en-GB"/>
        </w:rPr>
        <w:t>POWERED ROOF SUPPORT DESIGN</w:t>
      </w:r>
      <w:r w:rsidR="00C92697">
        <w:rPr>
          <w:sz w:val="22"/>
          <w:szCs w:val="22"/>
          <w:lang w:val="en-GB"/>
        </w:rPr>
        <w:br/>
      </w:r>
      <w:r w:rsidR="006E2F8F" w:rsidRPr="00A53EFB">
        <w:rPr>
          <w:sz w:val="22"/>
          <w:szCs w:val="22"/>
          <w:lang w:val="en-GB"/>
        </w:rPr>
        <w:t>IN THE CONDITIONS OF TREMOR HAZARD</w:t>
      </w:r>
    </w:p>
    <w:p w14:paraId="5505A30D" w14:textId="6EB572C3" w:rsidR="006E2F8F" w:rsidRPr="00A53EFB" w:rsidRDefault="006E2F8F" w:rsidP="002C3956">
      <w:pPr>
        <w:spacing w:before="0" w:after="0" w:line="360" w:lineRule="auto"/>
        <w:ind w:firstLine="0"/>
        <w:contextualSpacing/>
        <w:rPr>
          <w:sz w:val="22"/>
          <w:szCs w:val="22"/>
          <w:lang w:val="en-GB"/>
        </w:rPr>
      </w:pPr>
      <w:r w:rsidRPr="00A53EFB">
        <w:rPr>
          <w:sz w:val="22"/>
          <w:szCs w:val="22"/>
          <w:lang w:val="en-GB"/>
        </w:rPr>
        <w:t>Overload can be defined as the “exceeding of the instantaneous nominal load of the support and its components by more than 50% due to rock mass tremors</w:t>
      </w:r>
      <w:r w:rsidR="002C3956" w:rsidRPr="00A53EFB">
        <w:rPr>
          <w:sz w:val="22"/>
          <w:szCs w:val="22"/>
          <w:lang w:val="en-GB"/>
        </w:rPr>
        <w:t>”</w:t>
      </w:r>
      <w:r w:rsidRPr="00A53EFB">
        <w:rPr>
          <w:sz w:val="22"/>
          <w:szCs w:val="22"/>
          <w:lang w:val="en-GB"/>
        </w:rPr>
        <w:t>. The adopted definition is consistent with the provisions of the Polish standard PN-EN 1804-1,2,3+A1 and literature [3].</w:t>
      </w:r>
    </w:p>
    <w:p w14:paraId="2B156B66" w14:textId="77777777" w:rsidR="006E2F8F" w:rsidRPr="00A53EFB" w:rsidRDefault="006E2F8F" w:rsidP="002C3956">
      <w:pPr>
        <w:spacing w:before="0" w:after="0" w:line="360" w:lineRule="auto"/>
        <w:ind w:firstLine="0"/>
        <w:contextualSpacing/>
        <w:rPr>
          <w:sz w:val="22"/>
          <w:szCs w:val="22"/>
          <w:lang w:val="en-GB"/>
        </w:rPr>
      </w:pPr>
      <w:r w:rsidRPr="00A53EFB">
        <w:rPr>
          <w:sz w:val="22"/>
          <w:szCs w:val="22"/>
          <w:lang w:val="en-GB"/>
        </w:rPr>
        <w:t xml:space="preserve">Overload assessment is carried out according to the method developed by GIG as an implementation of the Regulation of the relevant Minister in the field of adaptation of the powered roof support to take over the dynamic loads [1]. Its aim is to </w:t>
      </w:r>
      <w:r w:rsidRPr="00A53EFB">
        <w:rPr>
          <w:sz w:val="22"/>
          <w:szCs w:val="22"/>
          <w:lang w:val="en-GB"/>
        </w:rPr>
        <w:lastRenderedPageBreak/>
        <w:t>determine the safe range of support operation height and to select overload protection for specific geological-mining and technical conditions of support operation [2].</w:t>
      </w:r>
    </w:p>
    <w:p w14:paraId="16B168FE" w14:textId="0C317ABE" w:rsidR="006E2F8F" w:rsidRPr="00A53EFB" w:rsidRDefault="006E2F8F" w:rsidP="002C3956">
      <w:pPr>
        <w:spacing w:before="0" w:after="0" w:line="360" w:lineRule="auto"/>
        <w:ind w:firstLine="0"/>
        <w:contextualSpacing/>
        <w:rPr>
          <w:sz w:val="22"/>
          <w:szCs w:val="22"/>
          <w:lang w:val="en-GB"/>
        </w:rPr>
      </w:pPr>
      <w:r w:rsidRPr="00A53EFB">
        <w:rPr>
          <w:sz w:val="22"/>
          <w:szCs w:val="22"/>
          <w:lang w:val="en-GB"/>
        </w:rPr>
        <w:t>The yielding method used by GIG is an analytical method based on selected mining parameters (n</w:t>
      </w:r>
      <w:r w:rsidRPr="00A53EFB">
        <w:rPr>
          <w:sz w:val="22"/>
          <w:szCs w:val="22"/>
          <w:vertAlign w:val="subscript"/>
          <w:lang w:val="en-GB"/>
        </w:rPr>
        <w:t>tz</w:t>
      </w:r>
      <w:r w:rsidRPr="00A53EFB">
        <w:rPr>
          <w:sz w:val="22"/>
          <w:szCs w:val="22"/>
          <w:lang w:val="en-GB"/>
        </w:rPr>
        <w:t xml:space="preserve"> load coefficient, roof bearing capacity index </w:t>
      </w:r>
      <w:r w:rsidR="002C3956" w:rsidRPr="00C92697">
        <w:rPr>
          <w:i/>
          <w:iCs/>
          <w:sz w:val="22"/>
          <w:szCs w:val="22"/>
          <w:lang w:val="en-GB"/>
        </w:rPr>
        <w:t>g</w:t>
      </w:r>
      <w:r w:rsidRPr="00A53EFB">
        <w:rPr>
          <w:sz w:val="22"/>
          <w:szCs w:val="22"/>
          <w:lang w:val="en-GB"/>
        </w:rPr>
        <w:t>) as well as operational and technical parameters of the support and its protection.</w:t>
      </w:r>
    </w:p>
    <w:p w14:paraId="2F159172" w14:textId="5178CD05" w:rsidR="006E2F8F" w:rsidRPr="00A53EFB" w:rsidRDefault="006E2F8F" w:rsidP="002C3956">
      <w:pPr>
        <w:spacing w:before="0" w:after="0" w:line="360" w:lineRule="auto"/>
        <w:ind w:firstLine="0"/>
        <w:contextualSpacing/>
        <w:rPr>
          <w:sz w:val="22"/>
          <w:szCs w:val="22"/>
          <w:lang w:val="en-GB"/>
        </w:rPr>
      </w:pPr>
      <w:r w:rsidRPr="00A53EFB">
        <w:rPr>
          <w:sz w:val="22"/>
          <w:szCs w:val="22"/>
          <w:lang w:val="en-GB"/>
        </w:rPr>
        <w:t>The n</w:t>
      </w:r>
      <w:r w:rsidRPr="00A53EFB">
        <w:rPr>
          <w:sz w:val="22"/>
          <w:szCs w:val="22"/>
          <w:vertAlign w:val="subscript"/>
          <w:lang w:val="en-GB"/>
        </w:rPr>
        <w:t>tz</w:t>
      </w:r>
      <w:r w:rsidRPr="00A53EFB">
        <w:rPr>
          <w:sz w:val="22"/>
          <w:szCs w:val="22"/>
          <w:lang w:val="en-GB"/>
        </w:rPr>
        <w:t xml:space="preserve"> load coefficient defines the increase in the support load due to rock mass tremor with respect to the static load. It depends on the distance from the hypocentre of the tremor to the roof of the longwall and the predicted maximum energy of the tremor. The variability of the n</w:t>
      </w:r>
      <w:r w:rsidRPr="00A53EFB">
        <w:rPr>
          <w:sz w:val="22"/>
          <w:szCs w:val="22"/>
          <w:vertAlign w:val="subscript"/>
          <w:lang w:val="en-GB"/>
        </w:rPr>
        <w:t>tz</w:t>
      </w:r>
      <w:r w:rsidRPr="00A53EFB">
        <w:rPr>
          <w:sz w:val="22"/>
          <w:szCs w:val="22"/>
          <w:lang w:val="en-GB"/>
        </w:rPr>
        <w:t xml:space="preserve"> index ranges from 1.0 to 1.8</w:t>
      </w:r>
      <w:r w:rsidR="002C3956" w:rsidRPr="00A53EFB">
        <w:rPr>
          <w:sz w:val="22"/>
          <w:szCs w:val="22"/>
          <w:lang w:val="en-GB"/>
        </w:rPr>
        <w:t xml:space="preserve"> </w:t>
      </w:r>
      <w:r w:rsidRPr="00A53EFB">
        <w:rPr>
          <w:sz w:val="22"/>
          <w:szCs w:val="22"/>
          <w:lang w:val="en-GB"/>
        </w:rPr>
        <w:t>m, according to [4]. The n</w:t>
      </w:r>
      <w:r w:rsidRPr="00A53EFB">
        <w:rPr>
          <w:sz w:val="22"/>
          <w:szCs w:val="22"/>
          <w:vertAlign w:val="subscript"/>
          <w:lang w:val="en-GB"/>
        </w:rPr>
        <w:t>tz</w:t>
      </w:r>
      <w:r w:rsidRPr="00A53EFB">
        <w:rPr>
          <w:sz w:val="22"/>
          <w:szCs w:val="22"/>
          <w:lang w:val="en-GB"/>
        </w:rPr>
        <w:t xml:space="preserve"> load coefficient is also an important parameter used in determining the roof bearing capacity index g [5</w:t>
      </w:r>
      <w:r w:rsidR="002C3956" w:rsidRPr="00A53EFB">
        <w:rPr>
          <w:sz w:val="22"/>
          <w:szCs w:val="22"/>
          <w:lang w:val="en-GB"/>
        </w:rPr>
        <w:t>–</w:t>
      </w:r>
      <w:r w:rsidRPr="00A53EFB">
        <w:rPr>
          <w:sz w:val="22"/>
          <w:szCs w:val="22"/>
          <w:lang w:val="en-GB"/>
        </w:rPr>
        <w:t>10]. The roof bearing capacity index g defines the roof maintenance conditions:</w:t>
      </w:r>
    </w:p>
    <w:p w14:paraId="69798C97" w14:textId="225E1F05" w:rsidR="006E2F8F" w:rsidRPr="00A53EFB" w:rsidRDefault="006E2F8F" w:rsidP="00C92697">
      <w:pPr>
        <w:pStyle w:val="Akapitzlist"/>
        <w:numPr>
          <w:ilvl w:val="0"/>
          <w:numId w:val="25"/>
        </w:numPr>
        <w:spacing w:before="0" w:after="0" w:line="360" w:lineRule="auto"/>
        <w:rPr>
          <w:sz w:val="22"/>
          <w:szCs w:val="22"/>
          <w:lang w:val="en-GB"/>
        </w:rPr>
      </w:pPr>
      <w:r w:rsidRPr="00C92697">
        <w:rPr>
          <w:i/>
          <w:iCs/>
          <w:sz w:val="22"/>
          <w:szCs w:val="22"/>
          <w:lang w:val="en-GB"/>
        </w:rPr>
        <w:t>g</w:t>
      </w:r>
      <w:r w:rsidRPr="00A53EFB">
        <w:rPr>
          <w:sz w:val="22"/>
          <w:szCs w:val="22"/>
          <w:lang w:val="en-GB"/>
        </w:rPr>
        <w:t xml:space="preserve"> &lt; 0</w:t>
      </w:r>
      <w:r w:rsidR="002C3956" w:rsidRPr="00A53EFB">
        <w:rPr>
          <w:sz w:val="22"/>
          <w:szCs w:val="22"/>
          <w:lang w:val="en-GB"/>
        </w:rPr>
        <w:t>.</w:t>
      </w:r>
      <w:r w:rsidRPr="00A53EFB">
        <w:rPr>
          <w:sz w:val="22"/>
          <w:szCs w:val="22"/>
          <w:lang w:val="en-GB"/>
        </w:rPr>
        <w:t>7 – caving hazard (the powered roof support does not have a sufficient reserve of support to properly secure the excavation)</w:t>
      </w:r>
      <w:r w:rsidR="002C3956" w:rsidRPr="00A53EFB">
        <w:rPr>
          <w:sz w:val="22"/>
          <w:szCs w:val="22"/>
          <w:lang w:val="en-GB"/>
        </w:rPr>
        <w:t>;</w:t>
      </w:r>
    </w:p>
    <w:p w14:paraId="77137650" w14:textId="374DF1BD" w:rsidR="006E2F8F" w:rsidRPr="00A53EFB" w:rsidRDefault="006E2F8F" w:rsidP="00C92697">
      <w:pPr>
        <w:pStyle w:val="Akapitzlist"/>
        <w:numPr>
          <w:ilvl w:val="0"/>
          <w:numId w:val="25"/>
        </w:numPr>
        <w:spacing w:before="0" w:after="0" w:line="360" w:lineRule="auto"/>
        <w:rPr>
          <w:sz w:val="22"/>
          <w:szCs w:val="22"/>
          <w:lang w:val="en-GB"/>
        </w:rPr>
      </w:pPr>
      <w:r w:rsidRPr="00A53EFB">
        <w:rPr>
          <w:sz w:val="22"/>
          <w:szCs w:val="22"/>
          <w:lang w:val="en-GB"/>
        </w:rPr>
        <w:t xml:space="preserve">0.7 ≤ </w:t>
      </w:r>
      <w:r w:rsidRPr="00C92697">
        <w:rPr>
          <w:i/>
          <w:iCs/>
          <w:sz w:val="22"/>
          <w:szCs w:val="22"/>
          <w:lang w:val="en-GB"/>
        </w:rPr>
        <w:t>g</w:t>
      </w:r>
      <w:r w:rsidRPr="00A53EFB">
        <w:rPr>
          <w:sz w:val="22"/>
          <w:szCs w:val="22"/>
          <w:lang w:val="en-GB"/>
        </w:rPr>
        <w:t xml:space="preserve"> &lt; 0.8 – difficult roof maintenance conditions (although the use a powered roof support in a specific excavation is allowed, it must be remembered that limitations or difficulties in the excavation roof maintenance may occur)</w:t>
      </w:r>
      <w:r w:rsidR="002C3956" w:rsidRPr="00A53EFB">
        <w:rPr>
          <w:sz w:val="22"/>
          <w:szCs w:val="22"/>
          <w:lang w:val="en-GB"/>
        </w:rPr>
        <w:t>;</w:t>
      </w:r>
    </w:p>
    <w:p w14:paraId="40AEC5C3" w14:textId="5BD33423" w:rsidR="006E2F8F" w:rsidRPr="00A53EFB" w:rsidRDefault="006E2F8F" w:rsidP="00C92697">
      <w:pPr>
        <w:pStyle w:val="Akapitzlist"/>
        <w:numPr>
          <w:ilvl w:val="0"/>
          <w:numId w:val="25"/>
        </w:numPr>
        <w:spacing w:before="0" w:after="0" w:line="360" w:lineRule="auto"/>
        <w:rPr>
          <w:sz w:val="22"/>
          <w:szCs w:val="22"/>
          <w:lang w:val="en-GB"/>
        </w:rPr>
      </w:pPr>
      <w:r w:rsidRPr="00C92697">
        <w:rPr>
          <w:i/>
          <w:iCs/>
          <w:sz w:val="22"/>
          <w:szCs w:val="22"/>
          <w:lang w:val="en-GB"/>
        </w:rPr>
        <w:t>g</w:t>
      </w:r>
      <w:r w:rsidRPr="00A53EFB">
        <w:rPr>
          <w:sz w:val="22"/>
          <w:szCs w:val="22"/>
          <w:lang w:val="en-GB"/>
        </w:rPr>
        <w:t xml:space="preserve"> ≥ 0.8 – proper roof maintenance conditions (the support is properly suited to a specific excavation).</w:t>
      </w:r>
    </w:p>
    <w:p w14:paraId="01CB32A6" w14:textId="54ED06DA" w:rsidR="006E2F8F" w:rsidRPr="00A53EFB" w:rsidRDefault="006E2F8F" w:rsidP="002C3956">
      <w:pPr>
        <w:spacing w:before="0" w:after="0" w:line="360" w:lineRule="auto"/>
        <w:ind w:firstLine="0"/>
        <w:contextualSpacing/>
        <w:rPr>
          <w:sz w:val="22"/>
          <w:szCs w:val="22"/>
          <w:lang w:val="en-GB"/>
        </w:rPr>
      </w:pPr>
      <w:r w:rsidRPr="00A53EFB">
        <w:rPr>
          <w:sz w:val="22"/>
          <w:szCs w:val="22"/>
          <w:lang w:val="en-GB"/>
        </w:rPr>
        <w:t xml:space="preserve">For conditions where frequent tremors may occur, it is recommended that the </w:t>
      </w:r>
      <w:r w:rsidRPr="00C92697">
        <w:rPr>
          <w:i/>
          <w:iCs/>
          <w:sz w:val="22"/>
          <w:szCs w:val="22"/>
          <w:lang w:val="en-GB"/>
        </w:rPr>
        <w:t>g</w:t>
      </w:r>
      <w:r w:rsidRPr="00A53EFB">
        <w:rPr>
          <w:sz w:val="22"/>
          <w:szCs w:val="22"/>
          <w:lang w:val="en-GB"/>
        </w:rPr>
        <w:t xml:space="preserve"> ≥ 0.8, which ensures correct maintenance of the roof. However, it should be noted that the correlation between the </w:t>
      </w:r>
      <w:r w:rsidRPr="00C92697">
        <w:rPr>
          <w:i/>
          <w:iCs/>
          <w:sz w:val="22"/>
          <w:szCs w:val="22"/>
          <w:lang w:val="en-GB"/>
        </w:rPr>
        <w:t>g</w:t>
      </w:r>
      <w:r w:rsidRPr="00A53EFB">
        <w:rPr>
          <w:sz w:val="22"/>
          <w:szCs w:val="22"/>
          <w:lang w:val="en-GB"/>
        </w:rPr>
        <w:t xml:space="preserve"> index and the n</w:t>
      </w:r>
      <w:r w:rsidRPr="00A53EFB">
        <w:rPr>
          <w:sz w:val="22"/>
          <w:szCs w:val="22"/>
          <w:vertAlign w:val="subscript"/>
          <w:lang w:val="en-GB"/>
        </w:rPr>
        <w:t>tz</w:t>
      </w:r>
      <w:r w:rsidRPr="00A53EFB">
        <w:rPr>
          <w:sz w:val="22"/>
          <w:szCs w:val="22"/>
          <w:lang w:val="en-GB"/>
        </w:rPr>
        <w:t xml:space="preserve"> load coefficient is not a linear function and must be considered individually for each case of a new longwall and powered roof support.  </w:t>
      </w:r>
    </w:p>
    <w:p w14:paraId="061B77B6" w14:textId="453DB346" w:rsidR="0062082B" w:rsidRPr="00A53EFB" w:rsidRDefault="006E2F8F" w:rsidP="002C3956">
      <w:pPr>
        <w:spacing w:before="0" w:after="0" w:line="360" w:lineRule="auto"/>
        <w:ind w:firstLine="0"/>
        <w:contextualSpacing/>
        <w:rPr>
          <w:sz w:val="22"/>
          <w:szCs w:val="22"/>
          <w:lang w:val="en-GB"/>
        </w:rPr>
      </w:pPr>
      <w:r w:rsidRPr="00A53EFB">
        <w:rPr>
          <w:sz w:val="22"/>
          <w:szCs w:val="22"/>
          <w:lang w:val="en-GB"/>
        </w:rPr>
        <w:t>The degree of mining tremor hazard in the case of a longwall excavation based on the value of the n</w:t>
      </w:r>
      <w:r w:rsidRPr="00A53EFB">
        <w:rPr>
          <w:sz w:val="22"/>
          <w:szCs w:val="22"/>
          <w:vertAlign w:val="subscript"/>
          <w:lang w:val="en-GB"/>
        </w:rPr>
        <w:t>tz</w:t>
      </w:r>
      <w:r w:rsidRPr="00A53EFB">
        <w:rPr>
          <w:sz w:val="22"/>
          <w:szCs w:val="22"/>
          <w:lang w:val="en-GB"/>
        </w:rPr>
        <w:t xml:space="preserve"> load coefficient can be determined as shown in </w:t>
      </w:r>
      <w:r w:rsidRPr="00A53EFB">
        <w:rPr>
          <w:sz w:val="22"/>
          <w:szCs w:val="22"/>
          <w:highlight w:val="yellow"/>
          <w:lang w:val="en-GB"/>
        </w:rPr>
        <w:t xml:space="preserve">Table </w:t>
      </w:r>
      <w:commentRangeStart w:id="6"/>
      <w:r w:rsidRPr="00A53EFB">
        <w:rPr>
          <w:sz w:val="22"/>
          <w:szCs w:val="22"/>
          <w:highlight w:val="yellow"/>
          <w:lang w:val="en-GB"/>
        </w:rPr>
        <w:t>1</w:t>
      </w:r>
      <w:commentRangeEnd w:id="6"/>
      <w:r w:rsidRPr="00A53EFB">
        <w:rPr>
          <w:rStyle w:val="Odwoaniedokomentarza"/>
          <w:sz w:val="22"/>
          <w:szCs w:val="22"/>
        </w:rPr>
        <w:commentReference w:id="6"/>
      </w:r>
      <w:r w:rsidRPr="00A53EFB">
        <w:rPr>
          <w:sz w:val="22"/>
          <w:szCs w:val="22"/>
          <w:lang w:val="en-GB"/>
        </w:rPr>
        <w:t xml:space="preserve">. </w:t>
      </w:r>
    </w:p>
    <w:p w14:paraId="49EE55F3" w14:textId="77777777" w:rsidR="00F47C42" w:rsidRPr="00A53EFB" w:rsidRDefault="00F47C42" w:rsidP="002C3956">
      <w:pPr>
        <w:spacing w:before="0" w:after="0" w:line="360" w:lineRule="auto"/>
        <w:ind w:firstLine="0"/>
        <w:contextualSpacing/>
        <w:rPr>
          <w:sz w:val="22"/>
          <w:szCs w:val="22"/>
          <w:lang w:val="en-GB"/>
        </w:rPr>
      </w:pPr>
    </w:p>
    <w:p w14:paraId="6B136AEE" w14:textId="6ABF5A0B" w:rsidR="00F47C42" w:rsidRPr="00A53EFB" w:rsidRDefault="00F47C42" w:rsidP="002C3956">
      <w:pPr>
        <w:spacing w:before="0" w:after="0" w:line="360" w:lineRule="auto"/>
        <w:ind w:firstLine="0"/>
        <w:contextualSpacing/>
        <w:rPr>
          <w:sz w:val="22"/>
          <w:szCs w:val="22"/>
          <w:lang w:val="en-GB"/>
        </w:rPr>
      </w:pPr>
      <w:r w:rsidRPr="00A53EFB">
        <w:rPr>
          <w:sz w:val="22"/>
          <w:szCs w:val="22"/>
          <w:lang w:val="en-GB"/>
        </w:rPr>
        <w:t>Table 1. The degree of mining tremor hazard in the case of a longwall excavation based on the value of the n</w:t>
      </w:r>
      <w:r w:rsidRPr="00A53EFB">
        <w:rPr>
          <w:sz w:val="22"/>
          <w:szCs w:val="22"/>
          <w:vertAlign w:val="subscript"/>
          <w:lang w:val="en-GB"/>
        </w:rPr>
        <w:t>tz</w:t>
      </w:r>
      <w:r w:rsidRPr="00A53EFB">
        <w:rPr>
          <w:sz w:val="22"/>
          <w:szCs w:val="22"/>
          <w:lang w:val="en-GB"/>
        </w:rPr>
        <w:t xml:space="preserve"> load coefficient [4]</w:t>
      </w:r>
    </w:p>
    <w:tbl>
      <w:tblPr>
        <w:tblW w:w="7655"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4A0" w:firstRow="1" w:lastRow="0" w:firstColumn="1" w:lastColumn="0" w:noHBand="0" w:noVBand="1"/>
      </w:tblPr>
      <w:tblGrid>
        <w:gridCol w:w="3044"/>
        <w:gridCol w:w="899"/>
        <w:gridCol w:w="902"/>
        <w:gridCol w:w="1003"/>
        <w:gridCol w:w="903"/>
        <w:gridCol w:w="904"/>
      </w:tblGrid>
      <w:tr w:rsidR="00F47C42" w:rsidRPr="00F47C42" w14:paraId="3253C858" w14:textId="77777777" w:rsidTr="00F47C42">
        <w:trPr>
          <w:trHeight w:val="267"/>
          <w:jc w:val="center"/>
        </w:trPr>
        <w:tc>
          <w:tcPr>
            <w:tcW w:w="3044" w:type="dxa"/>
            <w:shd w:val="clear" w:color="auto" w:fill="auto"/>
            <w:tcMar>
              <w:top w:w="28" w:type="dxa"/>
              <w:bottom w:w="28" w:type="dxa"/>
            </w:tcMar>
            <w:vAlign w:val="center"/>
          </w:tcPr>
          <w:p w14:paraId="4540ECB6" w14:textId="77777777" w:rsidR="00F47C42" w:rsidRPr="00F47C42" w:rsidRDefault="00F47C42" w:rsidP="00F47C42">
            <w:pPr>
              <w:widowControl w:val="0"/>
              <w:tabs>
                <w:tab w:val="left" w:pos="3263"/>
              </w:tabs>
              <w:spacing w:before="0" w:after="0" w:line="240" w:lineRule="auto"/>
              <w:ind w:firstLine="0"/>
              <w:jc w:val="left"/>
              <w:rPr>
                <w:bCs/>
                <w:sz w:val="22"/>
                <w:szCs w:val="22"/>
                <w:vertAlign w:val="subscript"/>
                <w:lang w:val="en-GB"/>
              </w:rPr>
            </w:pPr>
            <w:r w:rsidRPr="00F47C42">
              <w:rPr>
                <w:bCs/>
                <w:sz w:val="22"/>
                <w:szCs w:val="22"/>
                <w:lang w:val="en-GB"/>
              </w:rPr>
              <w:t xml:space="preserve">Load coefficient </w:t>
            </w:r>
            <w:r w:rsidRPr="00F47C42">
              <w:rPr>
                <w:bCs/>
                <w:iCs/>
                <w:sz w:val="22"/>
                <w:szCs w:val="22"/>
                <w:lang w:val="en-GB"/>
              </w:rPr>
              <w:t>n</w:t>
            </w:r>
            <w:r w:rsidRPr="00F47C42">
              <w:rPr>
                <w:bCs/>
                <w:iCs/>
                <w:sz w:val="22"/>
                <w:szCs w:val="22"/>
                <w:vertAlign w:val="subscript"/>
                <w:lang w:val="en-GB"/>
              </w:rPr>
              <w:t>tz</w:t>
            </w:r>
          </w:p>
        </w:tc>
        <w:tc>
          <w:tcPr>
            <w:tcW w:w="899" w:type="dxa"/>
            <w:shd w:val="clear" w:color="auto" w:fill="auto"/>
            <w:tcMar>
              <w:top w:w="28" w:type="dxa"/>
              <w:bottom w:w="28" w:type="dxa"/>
            </w:tcMar>
            <w:vAlign w:val="center"/>
          </w:tcPr>
          <w:p w14:paraId="66C5E459" w14:textId="77777777" w:rsidR="00F47C42" w:rsidRPr="00F47C42" w:rsidRDefault="00F47C42" w:rsidP="00F47C42">
            <w:pPr>
              <w:widowControl w:val="0"/>
              <w:tabs>
                <w:tab w:val="left" w:pos="3263"/>
              </w:tabs>
              <w:spacing w:before="0" w:after="0" w:line="240" w:lineRule="auto"/>
              <w:ind w:firstLine="0"/>
              <w:jc w:val="center"/>
              <w:rPr>
                <w:sz w:val="22"/>
                <w:szCs w:val="22"/>
                <w:lang w:val="en-GB"/>
              </w:rPr>
            </w:pPr>
            <w:r w:rsidRPr="00F47C42">
              <w:rPr>
                <w:sz w:val="22"/>
                <w:szCs w:val="22"/>
                <w:lang w:val="en-GB"/>
              </w:rPr>
              <w:t>1.0–1.1</w:t>
            </w:r>
          </w:p>
        </w:tc>
        <w:tc>
          <w:tcPr>
            <w:tcW w:w="902" w:type="dxa"/>
            <w:shd w:val="clear" w:color="auto" w:fill="auto"/>
            <w:tcMar>
              <w:top w:w="28" w:type="dxa"/>
              <w:bottom w:w="28" w:type="dxa"/>
            </w:tcMar>
            <w:vAlign w:val="center"/>
          </w:tcPr>
          <w:p w14:paraId="50D60931" w14:textId="77777777" w:rsidR="00F47C42" w:rsidRPr="00F47C42" w:rsidRDefault="00F47C42" w:rsidP="00F47C42">
            <w:pPr>
              <w:widowControl w:val="0"/>
              <w:tabs>
                <w:tab w:val="left" w:pos="3263"/>
              </w:tabs>
              <w:spacing w:before="0" w:after="0" w:line="240" w:lineRule="auto"/>
              <w:ind w:firstLine="0"/>
              <w:jc w:val="center"/>
              <w:rPr>
                <w:sz w:val="22"/>
                <w:szCs w:val="22"/>
                <w:lang w:val="en-GB"/>
              </w:rPr>
            </w:pPr>
            <w:r w:rsidRPr="00F47C42">
              <w:rPr>
                <w:sz w:val="22"/>
                <w:szCs w:val="22"/>
                <w:lang w:val="en-GB"/>
              </w:rPr>
              <w:t>1.0–1.1</w:t>
            </w:r>
          </w:p>
        </w:tc>
        <w:tc>
          <w:tcPr>
            <w:tcW w:w="1003" w:type="dxa"/>
            <w:shd w:val="clear" w:color="auto" w:fill="auto"/>
            <w:tcMar>
              <w:top w:w="28" w:type="dxa"/>
              <w:bottom w:w="28" w:type="dxa"/>
            </w:tcMar>
            <w:vAlign w:val="center"/>
          </w:tcPr>
          <w:p w14:paraId="3E2B74FE" w14:textId="77777777" w:rsidR="00F47C42" w:rsidRPr="00F47C42" w:rsidRDefault="00F47C42" w:rsidP="00F47C42">
            <w:pPr>
              <w:widowControl w:val="0"/>
              <w:tabs>
                <w:tab w:val="left" w:pos="3263"/>
              </w:tabs>
              <w:spacing w:before="0" w:after="0" w:line="240" w:lineRule="auto"/>
              <w:ind w:firstLine="0"/>
              <w:jc w:val="center"/>
              <w:rPr>
                <w:sz w:val="22"/>
                <w:szCs w:val="22"/>
                <w:lang w:val="en-GB"/>
              </w:rPr>
            </w:pPr>
            <w:r w:rsidRPr="00F47C42">
              <w:rPr>
                <w:sz w:val="22"/>
                <w:szCs w:val="22"/>
                <w:lang w:val="en-GB"/>
              </w:rPr>
              <w:t>1.2–1.3</w:t>
            </w:r>
          </w:p>
        </w:tc>
        <w:tc>
          <w:tcPr>
            <w:tcW w:w="903" w:type="dxa"/>
            <w:shd w:val="clear" w:color="auto" w:fill="auto"/>
            <w:tcMar>
              <w:top w:w="28" w:type="dxa"/>
              <w:bottom w:w="28" w:type="dxa"/>
            </w:tcMar>
            <w:vAlign w:val="center"/>
          </w:tcPr>
          <w:p w14:paraId="24340619" w14:textId="77777777" w:rsidR="00F47C42" w:rsidRPr="00F47C42" w:rsidRDefault="00F47C42" w:rsidP="00F47C42">
            <w:pPr>
              <w:widowControl w:val="0"/>
              <w:tabs>
                <w:tab w:val="left" w:pos="3263"/>
              </w:tabs>
              <w:spacing w:before="0" w:after="0" w:line="240" w:lineRule="auto"/>
              <w:ind w:firstLine="0"/>
              <w:jc w:val="center"/>
              <w:rPr>
                <w:sz w:val="22"/>
                <w:szCs w:val="22"/>
                <w:lang w:val="en-GB"/>
              </w:rPr>
            </w:pPr>
            <w:r w:rsidRPr="00F47C42">
              <w:rPr>
                <w:sz w:val="22"/>
                <w:szCs w:val="22"/>
                <w:lang w:val="en-GB"/>
              </w:rPr>
              <w:t>1.3–1.4</w:t>
            </w:r>
          </w:p>
        </w:tc>
        <w:tc>
          <w:tcPr>
            <w:tcW w:w="904" w:type="dxa"/>
            <w:shd w:val="clear" w:color="auto" w:fill="auto"/>
            <w:tcMar>
              <w:top w:w="28" w:type="dxa"/>
              <w:bottom w:w="28" w:type="dxa"/>
            </w:tcMar>
            <w:vAlign w:val="center"/>
          </w:tcPr>
          <w:p w14:paraId="7ADAAE0B" w14:textId="77777777" w:rsidR="00F47C42" w:rsidRPr="00F47C42" w:rsidRDefault="00F47C42" w:rsidP="00F47C42">
            <w:pPr>
              <w:widowControl w:val="0"/>
              <w:tabs>
                <w:tab w:val="left" w:pos="3263"/>
              </w:tabs>
              <w:spacing w:before="0" w:after="0" w:line="240" w:lineRule="auto"/>
              <w:ind w:firstLine="0"/>
              <w:jc w:val="center"/>
              <w:rPr>
                <w:sz w:val="22"/>
                <w:szCs w:val="22"/>
                <w:lang w:val="en-GB"/>
              </w:rPr>
            </w:pPr>
            <w:r w:rsidRPr="00F47C42">
              <w:rPr>
                <w:sz w:val="22"/>
                <w:szCs w:val="22"/>
                <w:lang w:val="en-GB"/>
              </w:rPr>
              <w:t>&gt;1.4</w:t>
            </w:r>
          </w:p>
        </w:tc>
      </w:tr>
      <w:tr w:rsidR="00F47C42" w:rsidRPr="00F47C42" w14:paraId="63347A46" w14:textId="77777777" w:rsidTr="00F47C42">
        <w:trPr>
          <w:trHeight w:val="607"/>
          <w:jc w:val="center"/>
        </w:trPr>
        <w:tc>
          <w:tcPr>
            <w:tcW w:w="3044" w:type="dxa"/>
            <w:shd w:val="clear" w:color="auto" w:fill="auto"/>
            <w:tcMar>
              <w:top w:w="28" w:type="dxa"/>
              <w:bottom w:w="28" w:type="dxa"/>
            </w:tcMar>
            <w:vAlign w:val="center"/>
          </w:tcPr>
          <w:p w14:paraId="5339A49F" w14:textId="77777777" w:rsidR="00F47C42" w:rsidRPr="00F47C42" w:rsidRDefault="00F47C42" w:rsidP="00F47C42">
            <w:pPr>
              <w:widowControl w:val="0"/>
              <w:tabs>
                <w:tab w:val="left" w:pos="3263"/>
              </w:tabs>
              <w:spacing w:before="0" w:after="0" w:line="240" w:lineRule="auto"/>
              <w:ind w:firstLine="0"/>
              <w:jc w:val="left"/>
              <w:rPr>
                <w:bCs/>
                <w:sz w:val="22"/>
                <w:szCs w:val="22"/>
                <w:lang w:val="en-GB"/>
              </w:rPr>
            </w:pPr>
            <w:r w:rsidRPr="00F47C42">
              <w:rPr>
                <w:bCs/>
                <w:sz w:val="22"/>
                <w:szCs w:val="22"/>
                <w:lang w:val="en-GB"/>
              </w:rPr>
              <w:t>Hazard to the excavation</w:t>
            </w:r>
          </w:p>
        </w:tc>
        <w:tc>
          <w:tcPr>
            <w:tcW w:w="899" w:type="dxa"/>
            <w:shd w:val="clear" w:color="auto" w:fill="auto"/>
            <w:tcMar>
              <w:top w:w="28" w:type="dxa"/>
              <w:bottom w:w="28" w:type="dxa"/>
            </w:tcMar>
            <w:vAlign w:val="center"/>
          </w:tcPr>
          <w:p w14:paraId="656D3AA1" w14:textId="26FAE383" w:rsidR="00F47C42" w:rsidRPr="00F47C42" w:rsidRDefault="00F47C42" w:rsidP="00F47C42">
            <w:pPr>
              <w:widowControl w:val="0"/>
              <w:tabs>
                <w:tab w:val="left" w:pos="3263"/>
              </w:tabs>
              <w:spacing w:before="0" w:after="0" w:line="240" w:lineRule="auto"/>
              <w:ind w:firstLine="0"/>
              <w:jc w:val="center"/>
              <w:rPr>
                <w:sz w:val="22"/>
                <w:szCs w:val="22"/>
                <w:lang w:val="en-GB"/>
              </w:rPr>
            </w:pPr>
            <w:r w:rsidRPr="00A53EFB">
              <w:rPr>
                <w:sz w:val="22"/>
                <w:szCs w:val="22"/>
                <w:lang w:val="en-GB"/>
              </w:rPr>
              <w:t>l</w:t>
            </w:r>
            <w:r w:rsidRPr="00F47C42">
              <w:rPr>
                <w:sz w:val="22"/>
                <w:szCs w:val="22"/>
                <w:lang w:val="en-GB"/>
              </w:rPr>
              <w:t>ack</w:t>
            </w:r>
          </w:p>
        </w:tc>
        <w:tc>
          <w:tcPr>
            <w:tcW w:w="902" w:type="dxa"/>
            <w:shd w:val="clear" w:color="auto" w:fill="auto"/>
            <w:tcMar>
              <w:top w:w="28" w:type="dxa"/>
              <w:bottom w:w="28" w:type="dxa"/>
            </w:tcMar>
            <w:vAlign w:val="center"/>
          </w:tcPr>
          <w:p w14:paraId="2A6F2EA5" w14:textId="77FBEBEF" w:rsidR="00F47C42" w:rsidRPr="00F47C42" w:rsidRDefault="00F47C42" w:rsidP="00F47C42">
            <w:pPr>
              <w:widowControl w:val="0"/>
              <w:tabs>
                <w:tab w:val="left" w:pos="3263"/>
              </w:tabs>
              <w:spacing w:before="0" w:after="0" w:line="240" w:lineRule="auto"/>
              <w:ind w:firstLine="0"/>
              <w:jc w:val="center"/>
              <w:rPr>
                <w:sz w:val="22"/>
                <w:szCs w:val="22"/>
                <w:lang w:val="en-GB"/>
              </w:rPr>
            </w:pPr>
            <w:r w:rsidRPr="00A53EFB">
              <w:rPr>
                <w:sz w:val="22"/>
                <w:szCs w:val="22"/>
                <w:lang w:val="en-GB"/>
              </w:rPr>
              <w:t>w</w:t>
            </w:r>
            <w:r w:rsidRPr="00F47C42">
              <w:rPr>
                <w:sz w:val="22"/>
                <w:szCs w:val="22"/>
                <w:lang w:val="en-GB"/>
              </w:rPr>
              <w:t>eak</w:t>
            </w:r>
          </w:p>
        </w:tc>
        <w:tc>
          <w:tcPr>
            <w:tcW w:w="1003" w:type="dxa"/>
            <w:shd w:val="clear" w:color="auto" w:fill="auto"/>
            <w:tcMar>
              <w:top w:w="28" w:type="dxa"/>
              <w:bottom w:w="28" w:type="dxa"/>
            </w:tcMar>
            <w:vAlign w:val="center"/>
          </w:tcPr>
          <w:p w14:paraId="065D48F6" w14:textId="77777777" w:rsidR="00F47C42" w:rsidRPr="00F47C42" w:rsidRDefault="00F47C42" w:rsidP="00F47C42">
            <w:pPr>
              <w:widowControl w:val="0"/>
              <w:tabs>
                <w:tab w:val="left" w:pos="3263"/>
              </w:tabs>
              <w:spacing w:before="0" w:after="0" w:line="240" w:lineRule="auto"/>
              <w:ind w:firstLine="0"/>
              <w:jc w:val="center"/>
              <w:rPr>
                <w:sz w:val="22"/>
                <w:szCs w:val="22"/>
                <w:lang w:val="en-GB"/>
              </w:rPr>
            </w:pPr>
            <w:r w:rsidRPr="00F47C42">
              <w:rPr>
                <w:sz w:val="22"/>
                <w:szCs w:val="22"/>
                <w:lang w:val="en-GB"/>
              </w:rPr>
              <w:t>medium</w:t>
            </w:r>
          </w:p>
        </w:tc>
        <w:tc>
          <w:tcPr>
            <w:tcW w:w="903" w:type="dxa"/>
            <w:shd w:val="clear" w:color="auto" w:fill="auto"/>
            <w:tcMar>
              <w:top w:w="28" w:type="dxa"/>
              <w:bottom w:w="28" w:type="dxa"/>
            </w:tcMar>
            <w:vAlign w:val="center"/>
          </w:tcPr>
          <w:p w14:paraId="43C4B0C0" w14:textId="77777777" w:rsidR="00F47C42" w:rsidRPr="00F47C42" w:rsidRDefault="00F47C42" w:rsidP="00F47C42">
            <w:pPr>
              <w:widowControl w:val="0"/>
              <w:tabs>
                <w:tab w:val="left" w:pos="3263"/>
              </w:tabs>
              <w:spacing w:before="0" w:after="0" w:line="240" w:lineRule="auto"/>
              <w:ind w:firstLine="0"/>
              <w:jc w:val="center"/>
              <w:rPr>
                <w:sz w:val="22"/>
                <w:szCs w:val="22"/>
                <w:lang w:val="en-GB"/>
              </w:rPr>
            </w:pPr>
            <w:r w:rsidRPr="00F47C42">
              <w:rPr>
                <w:sz w:val="22"/>
                <w:szCs w:val="22"/>
                <w:lang w:val="en-GB"/>
              </w:rPr>
              <w:t>strong</w:t>
            </w:r>
          </w:p>
        </w:tc>
        <w:tc>
          <w:tcPr>
            <w:tcW w:w="904" w:type="dxa"/>
            <w:shd w:val="clear" w:color="auto" w:fill="auto"/>
            <w:tcMar>
              <w:top w:w="28" w:type="dxa"/>
              <w:bottom w:w="28" w:type="dxa"/>
            </w:tcMar>
            <w:vAlign w:val="center"/>
          </w:tcPr>
          <w:p w14:paraId="6BBD961B" w14:textId="77777777" w:rsidR="00F47C42" w:rsidRPr="00F47C42" w:rsidRDefault="00F47C42" w:rsidP="00F47C42">
            <w:pPr>
              <w:widowControl w:val="0"/>
              <w:tabs>
                <w:tab w:val="left" w:pos="3263"/>
              </w:tabs>
              <w:spacing w:before="0" w:after="0" w:line="240" w:lineRule="auto"/>
              <w:ind w:firstLine="0"/>
              <w:jc w:val="center"/>
              <w:rPr>
                <w:sz w:val="22"/>
                <w:szCs w:val="22"/>
                <w:lang w:val="en-GB"/>
              </w:rPr>
            </w:pPr>
            <w:r w:rsidRPr="00F47C42">
              <w:rPr>
                <w:sz w:val="22"/>
                <w:szCs w:val="22"/>
                <w:lang w:val="en-GB"/>
              </w:rPr>
              <w:t>very strong</w:t>
            </w:r>
          </w:p>
        </w:tc>
      </w:tr>
    </w:tbl>
    <w:p w14:paraId="4469B3C7" w14:textId="77777777" w:rsidR="00F47C42" w:rsidRPr="00A53EFB" w:rsidRDefault="00F47C42" w:rsidP="00F47C42">
      <w:pPr>
        <w:pStyle w:val="Paragraph"/>
        <w:spacing w:line="360" w:lineRule="auto"/>
        <w:ind w:firstLine="0"/>
        <w:contextualSpacing/>
        <w:rPr>
          <w:sz w:val="22"/>
          <w:szCs w:val="22"/>
          <w:lang w:val="en-GB"/>
        </w:rPr>
      </w:pPr>
    </w:p>
    <w:p w14:paraId="723ED720" w14:textId="35C79346" w:rsidR="006E2F8F" w:rsidRPr="00A53EFB" w:rsidRDefault="006E2F8F" w:rsidP="00F47C42">
      <w:pPr>
        <w:pStyle w:val="Paragraph"/>
        <w:spacing w:line="360" w:lineRule="auto"/>
        <w:ind w:firstLine="0"/>
        <w:contextualSpacing/>
        <w:rPr>
          <w:sz w:val="22"/>
          <w:szCs w:val="22"/>
          <w:lang w:val="en-GB"/>
        </w:rPr>
      </w:pPr>
      <w:r w:rsidRPr="00A53EFB">
        <w:rPr>
          <w:sz w:val="22"/>
          <w:szCs w:val="22"/>
          <w:lang w:val="en-GB"/>
        </w:rPr>
        <w:t xml:space="preserve">The values of the </w:t>
      </w:r>
      <w:r w:rsidRPr="00A53EFB">
        <w:rPr>
          <w:iCs/>
          <w:sz w:val="22"/>
          <w:szCs w:val="22"/>
          <w:lang w:val="en-GB"/>
        </w:rPr>
        <w:t>n</w:t>
      </w:r>
      <w:r w:rsidRPr="00A53EFB">
        <w:rPr>
          <w:iCs/>
          <w:sz w:val="22"/>
          <w:szCs w:val="22"/>
          <w:vertAlign w:val="subscript"/>
          <w:lang w:val="en-GB"/>
        </w:rPr>
        <w:t>tz</w:t>
      </w:r>
      <w:r w:rsidRPr="00A53EFB">
        <w:rPr>
          <w:sz w:val="22"/>
          <w:szCs w:val="22"/>
          <w:lang w:val="en-GB"/>
        </w:rPr>
        <w:t xml:space="preserve"> load coefficient in the years 2016–2019 are shown graphically in </w:t>
      </w:r>
      <w:r w:rsidRPr="00A53EFB">
        <w:rPr>
          <w:sz w:val="22"/>
          <w:szCs w:val="22"/>
          <w:highlight w:val="yellow"/>
          <w:lang w:val="en-GB"/>
        </w:rPr>
        <w:t>Figure 1</w:t>
      </w:r>
      <w:r w:rsidRPr="00A53EFB">
        <w:rPr>
          <w:sz w:val="22"/>
          <w:szCs w:val="22"/>
          <w:lang w:val="en-GB"/>
        </w:rPr>
        <w:t xml:space="preserve">. The data encompasses 266 cases of longwalls excavated under the conditions prevailing in USCB, analysed by the Central Mining Institute as part of research and development works commissioned by mines and roof support manufacturers. The cases concerned the design of a powered roof support and determination of conditions of its protection under specific geological and mining conditions.  </w:t>
      </w:r>
    </w:p>
    <w:p w14:paraId="6FCFD2AB" w14:textId="77777777" w:rsidR="006E2F8F" w:rsidRPr="00A53EFB" w:rsidRDefault="006E2F8F" w:rsidP="002C3956">
      <w:pPr>
        <w:pStyle w:val="Paragraph"/>
        <w:spacing w:line="360" w:lineRule="auto"/>
        <w:contextualSpacing/>
        <w:rPr>
          <w:sz w:val="22"/>
          <w:szCs w:val="22"/>
          <w:lang w:val="en-GB"/>
        </w:rPr>
      </w:pPr>
    </w:p>
    <w:p w14:paraId="12D1E7A1" w14:textId="77777777" w:rsidR="006E2F8F" w:rsidRPr="00A53EFB" w:rsidRDefault="006E2F8F" w:rsidP="00485B37">
      <w:pPr>
        <w:pStyle w:val="Paragraph"/>
        <w:spacing w:line="360" w:lineRule="auto"/>
        <w:ind w:firstLine="0"/>
        <w:contextualSpacing/>
        <w:jc w:val="left"/>
        <w:rPr>
          <w:sz w:val="22"/>
          <w:szCs w:val="22"/>
          <w:lang w:val="en-GB"/>
        </w:rPr>
      </w:pPr>
      <w:r w:rsidRPr="00A53EFB">
        <w:rPr>
          <w:noProof/>
          <w:sz w:val="22"/>
          <w:szCs w:val="22"/>
          <w:lang w:val="pl-PL" w:eastAsia="pl-PL"/>
        </w:rPr>
        <w:drawing>
          <wp:inline distT="0" distB="0" distL="0" distR="0" wp14:anchorId="7F8C4F83" wp14:editId="44D34A61">
            <wp:extent cx="4120566" cy="2450206"/>
            <wp:effectExtent l="0" t="0" r="0" b="7620"/>
            <wp:docPr id="4"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154162" cy="2470183"/>
                    </a:xfrm>
                    <a:prstGeom prst="rect">
                      <a:avLst/>
                    </a:prstGeom>
                    <a:noFill/>
                  </pic:spPr>
                </pic:pic>
              </a:graphicData>
            </a:graphic>
          </wp:inline>
        </w:drawing>
      </w:r>
    </w:p>
    <w:p w14:paraId="19AFC88F" w14:textId="3F021CDD" w:rsidR="006E2F8F" w:rsidRPr="00A53EFB" w:rsidRDefault="006E2F8F" w:rsidP="00485B37">
      <w:pPr>
        <w:pStyle w:val="Paragraph"/>
        <w:spacing w:line="360" w:lineRule="auto"/>
        <w:ind w:firstLine="0"/>
        <w:contextualSpacing/>
        <w:jc w:val="left"/>
        <w:rPr>
          <w:iCs/>
          <w:sz w:val="22"/>
          <w:szCs w:val="22"/>
          <w:lang w:val="en-GB"/>
        </w:rPr>
      </w:pPr>
      <w:bookmarkStart w:id="7" w:name="_Hlk31567518"/>
      <w:commentRangeStart w:id="8"/>
      <w:r w:rsidRPr="00A53EFB">
        <w:rPr>
          <w:bCs/>
          <w:iCs/>
          <w:sz w:val="22"/>
          <w:szCs w:val="22"/>
          <w:lang w:val="en-GB"/>
        </w:rPr>
        <w:t>Fig</w:t>
      </w:r>
      <w:r w:rsidRPr="00A53EFB">
        <w:rPr>
          <w:iCs/>
          <w:sz w:val="22"/>
          <w:szCs w:val="22"/>
          <w:lang w:val="en-GB"/>
        </w:rPr>
        <w:t>. 1</w:t>
      </w:r>
      <w:commentRangeEnd w:id="8"/>
      <w:r w:rsidR="00485B37" w:rsidRPr="00A53EFB">
        <w:rPr>
          <w:rStyle w:val="Odwoaniedokomentarza"/>
          <w:sz w:val="22"/>
          <w:szCs w:val="22"/>
          <w:lang w:val="pl-PL" w:eastAsia="pl-PL"/>
        </w:rPr>
        <w:commentReference w:id="8"/>
      </w:r>
      <w:r w:rsidRPr="00A53EFB">
        <w:rPr>
          <w:iCs/>
          <w:sz w:val="22"/>
          <w:szCs w:val="22"/>
          <w:lang w:val="en-GB"/>
        </w:rPr>
        <w:t xml:space="preserve">. </w:t>
      </w:r>
      <w:bookmarkEnd w:id="7"/>
      <w:r w:rsidR="002C3956" w:rsidRPr="00A53EFB">
        <w:rPr>
          <w:iCs/>
          <w:sz w:val="22"/>
          <w:szCs w:val="22"/>
          <w:lang w:val="en-GB"/>
        </w:rPr>
        <w:t xml:space="preserve">Load coefficient </w:t>
      </w:r>
      <w:r w:rsidRPr="00A53EFB">
        <w:rPr>
          <w:iCs/>
          <w:sz w:val="22"/>
          <w:szCs w:val="22"/>
          <w:lang w:val="en-GB"/>
        </w:rPr>
        <w:t>n</w:t>
      </w:r>
      <w:r w:rsidRPr="00A53EFB">
        <w:rPr>
          <w:iCs/>
          <w:sz w:val="22"/>
          <w:szCs w:val="22"/>
          <w:vertAlign w:val="subscript"/>
          <w:lang w:val="en-GB"/>
        </w:rPr>
        <w:t>tz</w:t>
      </w:r>
      <w:r w:rsidRPr="00A53EFB">
        <w:rPr>
          <w:iCs/>
          <w:sz w:val="22"/>
          <w:szCs w:val="22"/>
          <w:lang w:val="en-GB"/>
        </w:rPr>
        <w:t xml:space="preserve"> in the years 2016–2019 by GIG</w:t>
      </w:r>
    </w:p>
    <w:p w14:paraId="07ADCADA" w14:textId="77777777" w:rsidR="006E2F8F" w:rsidRPr="00A53EFB" w:rsidRDefault="006E2F8F" w:rsidP="002C3956">
      <w:pPr>
        <w:pStyle w:val="Paragraph"/>
        <w:spacing w:line="360" w:lineRule="auto"/>
        <w:contextualSpacing/>
        <w:jc w:val="center"/>
        <w:rPr>
          <w:i/>
          <w:sz w:val="22"/>
          <w:szCs w:val="22"/>
          <w:lang w:val="en-GB"/>
        </w:rPr>
      </w:pPr>
    </w:p>
    <w:p w14:paraId="314BC9D0" w14:textId="77777777" w:rsidR="006E2F8F" w:rsidRPr="00A53EFB" w:rsidRDefault="006E2F8F" w:rsidP="002C3956">
      <w:pPr>
        <w:pStyle w:val="Paragraph"/>
        <w:spacing w:line="360" w:lineRule="auto"/>
        <w:contextualSpacing/>
        <w:rPr>
          <w:sz w:val="22"/>
          <w:szCs w:val="22"/>
          <w:lang w:val="en-GB"/>
        </w:rPr>
      </w:pPr>
      <w:r w:rsidRPr="00A53EFB">
        <w:rPr>
          <w:sz w:val="22"/>
          <w:szCs w:val="22"/>
          <w:lang w:val="en-GB"/>
        </w:rPr>
        <w:lastRenderedPageBreak/>
        <w:t>The above data demonstrates that 29% of the longwalls are operating under conditions of medium tremor hazard, and 8% – high mining tremor hazard. Considering that the mining operations in USCB will be conducted at deeper levels and the tremor hazard tends to intensify with increasing depth, it should be concluded that the percentage of longwalls with a high risk of rock mass tremors will be higher.</w:t>
      </w:r>
    </w:p>
    <w:p w14:paraId="438A0861" w14:textId="77777777" w:rsidR="006E2F8F" w:rsidRPr="00A53EFB" w:rsidRDefault="006E2F8F" w:rsidP="002C3956">
      <w:pPr>
        <w:pStyle w:val="Paragraph"/>
        <w:spacing w:line="360" w:lineRule="auto"/>
        <w:contextualSpacing/>
        <w:rPr>
          <w:sz w:val="22"/>
          <w:szCs w:val="22"/>
          <w:lang w:val="en-GB"/>
        </w:rPr>
      </w:pPr>
      <w:r w:rsidRPr="00A53EFB">
        <w:rPr>
          <w:sz w:val="22"/>
          <w:szCs w:val="22"/>
          <w:lang w:val="en-GB"/>
        </w:rPr>
        <w:t>GIG’s yielding protection method is based on the disturbed rock mass model developed by A. Biliński and the flat model of support with concentrated constants and one degree of freedom. The following dependencies are applied [2, 4, 11–13]:</w:t>
      </w:r>
    </w:p>
    <w:p w14:paraId="21704695" w14:textId="48263E6E" w:rsidR="006E2F8F" w:rsidRPr="00A53EFB" w:rsidRDefault="006E2F8F" w:rsidP="00485B37">
      <w:pPr>
        <w:pStyle w:val="Paragraph"/>
        <w:spacing w:line="360" w:lineRule="auto"/>
        <w:ind w:firstLine="0"/>
        <w:contextualSpacing/>
        <w:jc w:val="left"/>
        <w:rPr>
          <w:sz w:val="22"/>
          <w:szCs w:val="22"/>
          <w:lang w:val="en-GB"/>
        </w:rPr>
      </w:pPr>
      <m:oMath>
        <m:r>
          <w:rPr>
            <w:rFonts w:ascii="Cambria Math" w:hAnsi="Cambria Math"/>
            <w:sz w:val="22"/>
            <w:szCs w:val="22"/>
            <w:lang w:val="en-GB"/>
          </w:rPr>
          <m:t>f</m:t>
        </m:r>
        <m:d>
          <m:dPr>
            <m:ctrlPr>
              <w:rPr>
                <w:rFonts w:ascii="Cambria Math" w:hAnsi="Cambria Math"/>
                <w:i/>
                <w:sz w:val="22"/>
                <w:szCs w:val="22"/>
                <w:lang w:val="en-GB"/>
              </w:rPr>
            </m:ctrlPr>
          </m:dPr>
          <m:e>
            <m:r>
              <w:rPr>
                <w:rFonts w:ascii="Cambria Math" w:hAnsi="Cambria Math"/>
                <w:sz w:val="22"/>
                <w:szCs w:val="22"/>
                <w:lang w:val="en-GB"/>
              </w:rPr>
              <m:t>t</m:t>
            </m:r>
          </m:e>
        </m:d>
        <m:r>
          <w:rPr>
            <w:rFonts w:ascii="Cambria Math" w:hAnsi="Cambria Math"/>
            <w:sz w:val="22"/>
            <w:szCs w:val="22"/>
            <w:lang w:val="en-GB"/>
          </w:rPr>
          <m:t>=</m:t>
        </m:r>
        <m:f>
          <m:fPr>
            <m:ctrlPr>
              <w:rPr>
                <w:rFonts w:ascii="Cambria Math" w:hAnsi="Cambria Math"/>
                <w:i/>
                <w:sz w:val="22"/>
                <w:szCs w:val="22"/>
                <w:lang w:val="en-GB"/>
              </w:rPr>
            </m:ctrlPr>
          </m:fPr>
          <m:num>
            <m:r>
              <w:rPr>
                <w:rFonts w:ascii="Cambria Math" w:hAnsi="Cambria Math"/>
                <w:sz w:val="22"/>
                <w:szCs w:val="22"/>
                <w:lang w:val="en-GB"/>
              </w:rPr>
              <m:t>1</m:t>
            </m:r>
          </m:num>
          <m:den>
            <m:func>
              <m:funcPr>
                <m:ctrlPr>
                  <w:rPr>
                    <w:rFonts w:ascii="Cambria Math" w:hAnsi="Cambria Math"/>
                    <w:i/>
                    <w:sz w:val="22"/>
                    <w:szCs w:val="22"/>
                    <w:lang w:val="en-GB"/>
                  </w:rPr>
                </m:ctrlPr>
              </m:funcPr>
              <m:fName>
                <m:r>
                  <m:rPr>
                    <m:sty m:val="p"/>
                  </m:rPr>
                  <w:rPr>
                    <w:rFonts w:ascii="Cambria Math" w:hAnsi="Cambria Math"/>
                    <w:sz w:val="22"/>
                    <w:szCs w:val="22"/>
                    <w:lang w:val="en-GB"/>
                  </w:rPr>
                  <m:t>cos</m:t>
                </m:r>
              </m:fName>
              <m:e>
                <m:r>
                  <w:rPr>
                    <w:rFonts w:ascii="Cambria Math" w:hAnsi="Cambria Math"/>
                    <w:sz w:val="22"/>
                    <w:szCs w:val="22"/>
                    <w:lang w:val="en-GB"/>
                  </w:rPr>
                  <m:t>(</m:t>
                </m:r>
              </m:e>
            </m:func>
            <m:r>
              <w:rPr>
                <w:rFonts w:ascii="Cambria Math" w:hAnsi="Cambria Math"/>
                <w:sz w:val="22"/>
                <w:szCs w:val="22"/>
                <w:lang w:val="en-GB"/>
              </w:rPr>
              <m:t>90-</m:t>
            </m:r>
            <m:r>
              <m:rPr>
                <m:sty m:val="p"/>
              </m:rPr>
              <w:rPr>
                <w:rFonts w:ascii="Cambria Math" w:hAnsi="Cambria Math"/>
                <w:sz w:val="22"/>
                <w:szCs w:val="22"/>
                <w:lang w:val="en-GB"/>
              </w:rPr>
              <m:t>α</m:t>
            </m:r>
            <m:r>
              <w:rPr>
                <w:rFonts w:ascii="Cambria Math" w:hAnsi="Cambria Math"/>
                <w:sz w:val="22"/>
                <w:szCs w:val="22"/>
                <w:lang w:val="en-GB"/>
              </w:rPr>
              <m:t>)</m:t>
            </m:r>
          </m:den>
        </m:f>
        <m:d>
          <m:dPr>
            <m:ctrlPr>
              <w:rPr>
                <w:rFonts w:ascii="Cambria Math" w:hAnsi="Cambria Math"/>
                <w:i/>
                <w:sz w:val="22"/>
                <w:szCs w:val="22"/>
                <w:lang w:val="en-GB"/>
              </w:rPr>
            </m:ctrlPr>
          </m:dPr>
          <m:e>
            <m:sSub>
              <m:sSubPr>
                <m:ctrlPr>
                  <w:rPr>
                    <w:rFonts w:ascii="Cambria Math" w:hAnsi="Cambria Math"/>
                    <w:i/>
                    <w:sz w:val="22"/>
                    <w:szCs w:val="22"/>
                    <w:lang w:val="en-GB"/>
                  </w:rPr>
                </m:ctrlPr>
              </m:sSubPr>
              <m:e>
                <m:r>
                  <w:rPr>
                    <w:rFonts w:ascii="Cambria Math" w:hAnsi="Cambria Math"/>
                    <w:sz w:val="22"/>
                    <w:szCs w:val="22"/>
                    <w:lang w:val="en-GB"/>
                  </w:rPr>
                  <m:t>F</m:t>
                </m:r>
              </m:e>
              <m:sub>
                <m:r>
                  <w:rPr>
                    <w:rFonts w:ascii="Cambria Math" w:hAnsi="Cambria Math"/>
                    <w:sz w:val="22"/>
                    <w:szCs w:val="22"/>
                    <w:lang w:val="en-GB"/>
                  </w:rPr>
                  <m:t>w</m:t>
                </m:r>
              </m:sub>
            </m:sSub>
            <m:r>
              <w:rPr>
                <w:rFonts w:ascii="Cambria Math" w:hAnsi="Cambria Math"/>
                <w:sz w:val="22"/>
                <w:szCs w:val="22"/>
                <w:lang w:val="en-GB"/>
              </w:rPr>
              <m:t>+</m:t>
            </m:r>
            <m:sSub>
              <m:sSubPr>
                <m:ctrlPr>
                  <w:rPr>
                    <w:rFonts w:ascii="Cambria Math" w:hAnsi="Cambria Math"/>
                    <w:i/>
                    <w:sz w:val="22"/>
                    <w:szCs w:val="22"/>
                    <w:lang w:val="en-GB"/>
                  </w:rPr>
                </m:ctrlPr>
              </m:sSubPr>
              <m:e>
                <m:r>
                  <w:rPr>
                    <w:rFonts w:ascii="Cambria Math" w:hAnsi="Cambria Math"/>
                    <w:sz w:val="22"/>
                    <w:szCs w:val="22"/>
                    <w:lang w:val="en-GB"/>
                  </w:rPr>
                  <m:t>F</m:t>
                </m:r>
              </m:e>
              <m:sub>
                <m:r>
                  <w:rPr>
                    <w:rFonts w:ascii="Cambria Math" w:hAnsi="Cambria Math"/>
                    <w:sz w:val="22"/>
                    <w:szCs w:val="22"/>
                    <w:lang w:val="en-GB"/>
                  </w:rPr>
                  <m:t>d</m:t>
                </m:r>
              </m:sub>
            </m:sSub>
            <m:r>
              <w:rPr>
                <w:rFonts w:ascii="Cambria Math" w:hAnsi="Cambria Math"/>
                <w:sz w:val="22"/>
                <w:szCs w:val="22"/>
                <w:lang w:val="en-GB"/>
              </w:rPr>
              <m:t>(1+</m:t>
            </m:r>
            <m:sSub>
              <m:sSubPr>
                <m:ctrlPr>
                  <w:rPr>
                    <w:rFonts w:ascii="Cambria Math" w:hAnsi="Cambria Math"/>
                    <w:i/>
                    <w:sz w:val="22"/>
                    <w:szCs w:val="22"/>
                    <w:lang w:val="en-GB"/>
                  </w:rPr>
                </m:ctrlPr>
              </m:sSubPr>
              <m:e>
                <m:r>
                  <w:rPr>
                    <w:rFonts w:ascii="Cambria Math" w:hAnsi="Cambria Math"/>
                    <w:sz w:val="22"/>
                    <w:szCs w:val="22"/>
                    <w:lang w:val="en-GB"/>
                  </w:rPr>
                  <m:t>k</m:t>
                </m:r>
              </m:e>
              <m:sub>
                <m:r>
                  <w:rPr>
                    <w:rFonts w:ascii="Cambria Math" w:hAnsi="Cambria Math"/>
                    <w:sz w:val="22"/>
                    <w:szCs w:val="22"/>
                    <w:lang w:val="en-GB"/>
                  </w:rPr>
                  <m:t>d</m:t>
                </m:r>
              </m:sub>
            </m:sSub>
            <m:sSup>
              <m:sSupPr>
                <m:ctrlPr>
                  <w:rPr>
                    <w:rFonts w:ascii="Cambria Math" w:hAnsi="Cambria Math"/>
                    <w:i/>
                    <w:sz w:val="22"/>
                    <w:szCs w:val="22"/>
                    <w:lang w:val="en-GB"/>
                  </w:rPr>
                </m:ctrlPr>
              </m:sSupPr>
              <m:e>
                <m:r>
                  <w:rPr>
                    <w:rFonts w:ascii="Cambria Math" w:hAnsi="Cambria Math"/>
                    <w:sz w:val="22"/>
                    <w:szCs w:val="22"/>
                    <w:lang w:val="en-GB"/>
                  </w:rPr>
                  <m:t>e</m:t>
                </m:r>
              </m:e>
              <m:sup>
                <m:r>
                  <w:rPr>
                    <w:rFonts w:ascii="Cambria Math" w:hAnsi="Cambria Math"/>
                    <w:sz w:val="22"/>
                    <w:szCs w:val="22"/>
                    <w:lang w:val="en-GB"/>
                  </w:rPr>
                  <m:t>-δt</m:t>
                </m:r>
              </m:sup>
            </m:sSup>
            <m:func>
              <m:funcPr>
                <m:ctrlPr>
                  <w:rPr>
                    <w:rFonts w:ascii="Cambria Math" w:hAnsi="Cambria Math"/>
                    <w:i/>
                    <w:sz w:val="22"/>
                    <w:szCs w:val="22"/>
                    <w:lang w:val="en-GB"/>
                  </w:rPr>
                </m:ctrlPr>
              </m:funcPr>
              <m:fName>
                <m:r>
                  <m:rPr>
                    <m:sty m:val="p"/>
                  </m:rPr>
                  <w:rPr>
                    <w:rFonts w:ascii="Cambria Math" w:hAnsi="Cambria Math"/>
                    <w:sz w:val="22"/>
                    <w:szCs w:val="22"/>
                    <w:lang w:val="en-GB"/>
                  </w:rPr>
                  <m:t>sin</m:t>
                </m:r>
              </m:fName>
              <m:e>
                <m:r>
                  <w:rPr>
                    <w:rFonts w:ascii="Cambria Math" w:hAnsi="Cambria Math"/>
                    <w:sz w:val="22"/>
                    <w:szCs w:val="22"/>
                    <w:lang w:val="en-GB"/>
                  </w:rPr>
                  <m:t>(</m:t>
                </m:r>
              </m:e>
            </m:func>
            <m:r>
              <w:rPr>
                <w:rFonts w:ascii="Cambria Math" w:hAnsi="Cambria Math"/>
                <w:sz w:val="22"/>
                <w:szCs w:val="22"/>
                <w:lang w:val="en-GB"/>
              </w:rPr>
              <m:t>ωt-</m:t>
            </m:r>
            <m:r>
              <m:rPr>
                <m:sty m:val="p"/>
              </m:rPr>
              <w:rPr>
                <w:rFonts w:ascii="Cambria Math" w:hAnsi="Cambria Math"/>
                <w:sz w:val="22"/>
                <w:szCs w:val="22"/>
                <w:lang w:val="en-GB"/>
              </w:rPr>
              <m:t>φ</m:t>
            </m:r>
            <m:r>
              <w:rPr>
                <w:rFonts w:ascii="Cambria Math" w:hAnsi="Cambria Math"/>
                <w:sz w:val="22"/>
                <w:szCs w:val="22"/>
                <w:lang w:val="en-GB"/>
              </w:rPr>
              <m:t>))</m:t>
            </m:r>
          </m:e>
        </m:d>
        <m:r>
          <w:rPr>
            <w:rFonts w:ascii="Cambria Math" w:hAnsi="Cambria Math"/>
            <w:sz w:val="22"/>
            <w:szCs w:val="22"/>
            <w:lang w:val="en-GB"/>
          </w:rPr>
          <m:t>, N</m:t>
        </m:r>
      </m:oMath>
      <w:r w:rsidRPr="00A53EFB">
        <w:rPr>
          <w:sz w:val="22"/>
          <w:szCs w:val="22"/>
          <w:lang w:val="en-GB"/>
        </w:rPr>
        <w:t xml:space="preserve"> </w:t>
      </w:r>
      <w:r w:rsidR="00485B37" w:rsidRPr="00A53EFB">
        <w:rPr>
          <w:sz w:val="22"/>
          <w:szCs w:val="22"/>
          <w:lang w:val="en-GB"/>
        </w:rPr>
        <w:tab/>
      </w:r>
      <w:r w:rsidR="00485B37" w:rsidRPr="00A53EFB">
        <w:rPr>
          <w:sz w:val="22"/>
          <w:szCs w:val="22"/>
          <w:lang w:val="en-GB"/>
        </w:rPr>
        <w:tab/>
      </w:r>
      <w:r w:rsidRPr="00A53EFB">
        <w:rPr>
          <w:sz w:val="22"/>
          <w:szCs w:val="22"/>
          <w:lang w:val="en-GB"/>
        </w:rPr>
        <w:tab/>
        <w:t>(1)</w:t>
      </w:r>
    </w:p>
    <w:p w14:paraId="6B5097B2" w14:textId="77777777" w:rsidR="006E2F8F" w:rsidRPr="00A53EFB" w:rsidRDefault="006E2F8F" w:rsidP="00485B37">
      <w:pPr>
        <w:pStyle w:val="Paragraph"/>
        <w:spacing w:line="360" w:lineRule="auto"/>
        <w:ind w:firstLine="0"/>
        <w:contextualSpacing/>
        <w:rPr>
          <w:sz w:val="22"/>
          <w:szCs w:val="22"/>
          <w:lang w:val="en-GB"/>
        </w:rPr>
      </w:pPr>
      <w:r w:rsidRPr="00A53EFB">
        <w:rPr>
          <w:sz w:val="22"/>
          <w:szCs w:val="22"/>
          <w:lang w:val="en-GB"/>
        </w:rPr>
        <w:t>where:</w:t>
      </w:r>
    </w:p>
    <w:p w14:paraId="0DD87224" w14:textId="77777777" w:rsidR="006E2F8F" w:rsidRPr="00A53EFB" w:rsidRDefault="006E2F8F" w:rsidP="00485B37">
      <w:pPr>
        <w:pStyle w:val="Paragraph"/>
        <w:spacing w:line="360" w:lineRule="auto"/>
        <w:ind w:firstLine="0"/>
        <w:contextualSpacing/>
        <w:rPr>
          <w:sz w:val="22"/>
          <w:szCs w:val="22"/>
          <w:lang w:val="en-GB"/>
        </w:rPr>
      </w:pPr>
      <w:r w:rsidRPr="00A53EFB">
        <w:rPr>
          <w:iCs/>
          <w:sz w:val="22"/>
          <w:szCs w:val="22"/>
          <w:lang w:val="en-GB"/>
        </w:rPr>
        <w:t>f(t), F</w:t>
      </w:r>
      <w:r w:rsidRPr="00A53EFB">
        <w:rPr>
          <w:iCs/>
          <w:sz w:val="22"/>
          <w:szCs w:val="22"/>
          <w:vertAlign w:val="subscript"/>
          <w:lang w:val="en-GB"/>
        </w:rPr>
        <w:t>w</w:t>
      </w:r>
      <w:r w:rsidRPr="00A53EFB">
        <w:rPr>
          <w:iCs/>
          <w:sz w:val="22"/>
          <w:szCs w:val="22"/>
          <w:lang w:val="en-GB"/>
        </w:rPr>
        <w:t>, F</w:t>
      </w:r>
      <w:r w:rsidRPr="00A53EFB">
        <w:rPr>
          <w:iCs/>
          <w:sz w:val="22"/>
          <w:szCs w:val="22"/>
          <w:vertAlign w:val="subscript"/>
          <w:lang w:val="en-GB"/>
        </w:rPr>
        <w:t>d</w:t>
      </w:r>
      <w:r w:rsidRPr="00A53EFB">
        <w:rPr>
          <w:sz w:val="22"/>
          <w:szCs w:val="22"/>
          <w:lang w:val="en-GB"/>
        </w:rPr>
        <w:t xml:space="preserve"> – forces, respectively: leg, initial and dynamic load [N],</w:t>
      </w:r>
    </w:p>
    <w:p w14:paraId="439F86E6" w14:textId="69EA3CE3" w:rsidR="006E2F8F" w:rsidRPr="00A53EFB" w:rsidRDefault="006E2F8F" w:rsidP="00485B37">
      <w:pPr>
        <w:pStyle w:val="Paragraph"/>
        <w:spacing w:line="360" w:lineRule="auto"/>
        <w:ind w:firstLine="0"/>
        <w:contextualSpacing/>
        <w:rPr>
          <w:sz w:val="22"/>
          <w:szCs w:val="22"/>
          <w:lang w:val="en-GB"/>
        </w:rPr>
      </w:pPr>
      <w:r w:rsidRPr="00A53EFB">
        <w:rPr>
          <w:iCs/>
          <w:sz w:val="22"/>
          <w:szCs w:val="22"/>
          <w:lang w:val="en-GB"/>
        </w:rPr>
        <w:t>δ –</w:t>
      </w:r>
      <w:r w:rsidRPr="00A53EFB">
        <w:rPr>
          <w:sz w:val="22"/>
          <w:szCs w:val="22"/>
          <w:lang w:val="en-GB"/>
        </w:rPr>
        <w:t xml:space="preserve"> </w:t>
      </w:r>
      <w:r w:rsidRPr="00A53EFB">
        <w:rPr>
          <w:bCs/>
          <w:sz w:val="22"/>
          <w:szCs w:val="22"/>
          <w:lang w:val="en-GB"/>
        </w:rPr>
        <w:t>system damping factor</w:t>
      </w:r>
      <w:r w:rsidRPr="00A53EFB">
        <w:rPr>
          <w:sz w:val="22"/>
          <w:szCs w:val="22"/>
          <w:lang w:val="en-GB"/>
        </w:rPr>
        <w:t xml:space="preserve"> [s</w:t>
      </w:r>
      <w:r w:rsidRPr="00A53EFB">
        <w:rPr>
          <w:sz w:val="22"/>
          <w:szCs w:val="22"/>
          <w:vertAlign w:val="superscript"/>
          <w:lang w:val="en-GB"/>
        </w:rPr>
        <w:t>−1</w:t>
      </w:r>
      <w:r w:rsidRPr="00A53EFB">
        <w:rPr>
          <w:sz w:val="22"/>
          <w:szCs w:val="22"/>
          <w:lang w:val="en-GB"/>
        </w:rPr>
        <w:t>],</w:t>
      </w:r>
    </w:p>
    <w:p w14:paraId="5A070BC1" w14:textId="77777777" w:rsidR="006E2F8F" w:rsidRPr="00A53EFB" w:rsidRDefault="006E2F8F" w:rsidP="00485B37">
      <w:pPr>
        <w:pStyle w:val="Paragraph"/>
        <w:spacing w:line="360" w:lineRule="auto"/>
        <w:ind w:firstLine="0"/>
        <w:contextualSpacing/>
        <w:rPr>
          <w:sz w:val="22"/>
          <w:szCs w:val="22"/>
          <w:lang w:val="en-GB"/>
        </w:rPr>
      </w:pPr>
      <w:r w:rsidRPr="00A53EFB">
        <w:rPr>
          <w:iCs/>
          <w:sz w:val="22"/>
          <w:szCs w:val="22"/>
          <w:lang w:val="en-GB"/>
        </w:rPr>
        <w:t>k</w:t>
      </w:r>
      <w:r w:rsidRPr="00A53EFB">
        <w:rPr>
          <w:iCs/>
          <w:sz w:val="22"/>
          <w:szCs w:val="22"/>
          <w:vertAlign w:val="subscript"/>
          <w:lang w:val="en-GB"/>
        </w:rPr>
        <w:t>d</w:t>
      </w:r>
      <w:r w:rsidRPr="00A53EFB">
        <w:rPr>
          <w:iCs/>
          <w:sz w:val="22"/>
          <w:szCs w:val="22"/>
          <w:lang w:val="en-GB"/>
        </w:rPr>
        <w:t xml:space="preserve"> </w:t>
      </w:r>
      <w:r w:rsidRPr="00A53EFB">
        <w:rPr>
          <w:sz w:val="22"/>
          <w:szCs w:val="22"/>
          <w:lang w:val="en-GB"/>
        </w:rPr>
        <w:t xml:space="preserve">– </w:t>
      </w:r>
      <w:r w:rsidRPr="00A53EFB">
        <w:rPr>
          <w:bCs/>
          <w:sz w:val="22"/>
          <w:szCs w:val="22"/>
          <w:lang w:val="en-GB"/>
        </w:rPr>
        <w:t>calculation factor</w:t>
      </w:r>
      <w:r w:rsidRPr="00A53EFB">
        <w:rPr>
          <w:sz w:val="22"/>
          <w:szCs w:val="22"/>
          <w:lang w:val="en-GB"/>
        </w:rPr>
        <w:t>,</w:t>
      </w:r>
    </w:p>
    <w:p w14:paraId="5B5AE206" w14:textId="1A02D5BF" w:rsidR="006E2F8F" w:rsidRPr="00A53EFB" w:rsidRDefault="006E2F8F" w:rsidP="00485B37">
      <w:pPr>
        <w:pStyle w:val="Paragraph"/>
        <w:spacing w:line="360" w:lineRule="auto"/>
        <w:ind w:firstLine="0"/>
        <w:contextualSpacing/>
        <w:rPr>
          <w:sz w:val="22"/>
          <w:szCs w:val="22"/>
          <w:lang w:val="en-GB"/>
        </w:rPr>
      </w:pPr>
      <w:r w:rsidRPr="00A53EFB">
        <w:rPr>
          <w:sz w:val="22"/>
          <w:szCs w:val="22"/>
          <w:lang w:val="en-GB"/>
        </w:rPr>
        <w:t xml:space="preserve">ω – </w:t>
      </w:r>
      <w:r w:rsidRPr="00A53EFB">
        <w:rPr>
          <w:bCs/>
          <w:sz w:val="22"/>
          <w:szCs w:val="22"/>
          <w:lang w:val="en-GB"/>
        </w:rPr>
        <w:t>angular velocity [rad</w:t>
      </w:r>
      <w:r w:rsidR="004430E5" w:rsidRPr="00A53EFB">
        <w:rPr>
          <w:bCs/>
          <w:sz w:val="22"/>
          <w:szCs w:val="22"/>
          <w:lang w:val="en-GB"/>
        </w:rPr>
        <w:t>∙</w:t>
      </w:r>
      <w:r w:rsidRPr="00A53EFB">
        <w:rPr>
          <w:bCs/>
          <w:sz w:val="22"/>
          <w:szCs w:val="22"/>
          <w:lang w:val="en-GB"/>
        </w:rPr>
        <w:t>s</w:t>
      </w:r>
      <w:r w:rsidRPr="00A53EFB">
        <w:rPr>
          <w:bCs/>
          <w:sz w:val="22"/>
          <w:szCs w:val="22"/>
          <w:vertAlign w:val="superscript"/>
          <w:lang w:val="en-GB"/>
        </w:rPr>
        <w:t>−1</w:t>
      </w:r>
      <w:r w:rsidRPr="00A53EFB">
        <w:rPr>
          <w:sz w:val="22"/>
          <w:szCs w:val="22"/>
          <w:lang w:val="en-GB"/>
        </w:rPr>
        <w:t>],</w:t>
      </w:r>
    </w:p>
    <w:p w14:paraId="489DE422" w14:textId="178AC9E5" w:rsidR="006E2F8F" w:rsidRPr="00A53EFB" w:rsidRDefault="006E2F8F" w:rsidP="00485B37">
      <w:pPr>
        <w:pStyle w:val="Paragraph"/>
        <w:spacing w:line="360" w:lineRule="auto"/>
        <w:ind w:firstLine="0"/>
        <w:contextualSpacing/>
        <w:rPr>
          <w:sz w:val="22"/>
          <w:szCs w:val="22"/>
          <w:lang w:val="en-GB"/>
        </w:rPr>
      </w:pPr>
      <w:r w:rsidRPr="00A53EFB">
        <w:rPr>
          <w:sz w:val="22"/>
          <w:szCs w:val="22"/>
          <w:lang w:val="en-GB"/>
        </w:rPr>
        <w:t>φ</w:t>
      </w:r>
      <w:r w:rsidRPr="00A53EFB">
        <w:rPr>
          <w:i/>
          <w:sz w:val="22"/>
          <w:szCs w:val="22"/>
          <w:lang w:val="en-GB"/>
        </w:rPr>
        <w:t xml:space="preserve"> </w:t>
      </w:r>
      <w:r w:rsidRPr="00A53EFB">
        <w:rPr>
          <w:sz w:val="22"/>
          <w:szCs w:val="22"/>
          <w:lang w:val="en-GB"/>
        </w:rPr>
        <w:t xml:space="preserve">– </w:t>
      </w:r>
      <w:r w:rsidRPr="00A53EFB">
        <w:rPr>
          <w:bCs/>
          <w:sz w:val="22"/>
          <w:szCs w:val="22"/>
          <w:lang w:val="en-GB"/>
        </w:rPr>
        <w:t>angle of force shift in the leg in relation to the loading force [rad</w:t>
      </w:r>
      <w:r w:rsidRPr="00A53EFB">
        <w:rPr>
          <w:sz w:val="22"/>
          <w:szCs w:val="22"/>
          <w:lang w:val="en-GB"/>
        </w:rPr>
        <w:t>]</w:t>
      </w:r>
      <w:r w:rsidR="004430E5" w:rsidRPr="00A53EFB">
        <w:rPr>
          <w:sz w:val="22"/>
          <w:szCs w:val="22"/>
          <w:lang w:val="en-GB"/>
        </w:rPr>
        <w:t>,</w:t>
      </w:r>
    </w:p>
    <w:p w14:paraId="6C45D207" w14:textId="19C99597" w:rsidR="006E2F8F" w:rsidRPr="00A53EFB" w:rsidRDefault="006E2F8F" w:rsidP="00485B37">
      <w:pPr>
        <w:pStyle w:val="Paragraph"/>
        <w:spacing w:line="360" w:lineRule="auto"/>
        <w:ind w:firstLine="0"/>
        <w:contextualSpacing/>
        <w:rPr>
          <w:sz w:val="22"/>
          <w:szCs w:val="22"/>
          <w:lang w:val="en-GB"/>
        </w:rPr>
      </w:pPr>
      <w:r w:rsidRPr="00A53EFB">
        <w:rPr>
          <w:sz w:val="22"/>
          <w:szCs w:val="22"/>
          <w:lang w:val="en-GB"/>
        </w:rPr>
        <w:t xml:space="preserve">α – </w:t>
      </w:r>
      <w:r w:rsidRPr="00A53EFB">
        <w:rPr>
          <w:bCs/>
          <w:sz w:val="22"/>
          <w:szCs w:val="22"/>
          <w:lang w:val="en-GB"/>
        </w:rPr>
        <w:t xml:space="preserve">angle of inclination of the leg in relation to the floor base </w:t>
      </w:r>
      <w:r w:rsidR="00485B37" w:rsidRPr="00A53EFB">
        <w:rPr>
          <w:bCs/>
          <w:sz w:val="22"/>
          <w:szCs w:val="22"/>
          <w:lang w:val="en-GB"/>
        </w:rPr>
        <w:t>[°]</w:t>
      </w:r>
      <w:r w:rsidRPr="00A53EFB">
        <w:rPr>
          <w:sz w:val="22"/>
          <w:szCs w:val="22"/>
          <w:lang w:val="en-GB"/>
        </w:rPr>
        <w:t xml:space="preserve">. </w:t>
      </w:r>
    </w:p>
    <w:p w14:paraId="3EF3B112" w14:textId="77777777" w:rsidR="006E2F8F" w:rsidRPr="00A53EFB" w:rsidRDefault="006E2F8F" w:rsidP="00485B37">
      <w:pPr>
        <w:pStyle w:val="Paragraph"/>
        <w:spacing w:line="360" w:lineRule="auto"/>
        <w:ind w:firstLine="0"/>
        <w:contextualSpacing/>
        <w:rPr>
          <w:sz w:val="22"/>
          <w:szCs w:val="22"/>
          <w:lang w:val="en-GB"/>
        </w:rPr>
      </w:pPr>
      <w:r w:rsidRPr="00A53EFB">
        <w:rPr>
          <w:sz w:val="22"/>
          <w:szCs w:val="22"/>
          <w:lang w:val="en-GB"/>
        </w:rPr>
        <w:t xml:space="preserve">Here, the maximum force is calculated for each case and refers to the nominal capacity of the leg, for a given working height, the value of the </w:t>
      </w:r>
      <w:r w:rsidRPr="00A53EFB">
        <w:rPr>
          <w:iCs/>
          <w:sz w:val="22"/>
          <w:szCs w:val="22"/>
          <w:lang w:val="en-GB"/>
        </w:rPr>
        <w:t>n</w:t>
      </w:r>
      <w:r w:rsidRPr="00A53EFB">
        <w:rPr>
          <w:iCs/>
          <w:sz w:val="22"/>
          <w:szCs w:val="22"/>
          <w:vertAlign w:val="subscript"/>
          <w:lang w:val="en-GB"/>
        </w:rPr>
        <w:t>tz</w:t>
      </w:r>
      <w:r w:rsidRPr="00A53EFB">
        <w:rPr>
          <w:iCs/>
          <w:sz w:val="22"/>
          <w:szCs w:val="22"/>
          <w:lang w:val="en-GB"/>
        </w:rPr>
        <w:t xml:space="preserve"> </w:t>
      </w:r>
      <w:r w:rsidRPr="00A53EFB">
        <w:rPr>
          <w:sz w:val="22"/>
          <w:szCs w:val="22"/>
          <w:lang w:val="en-GB"/>
        </w:rPr>
        <w:t xml:space="preserve">indicator and the flow in the overload protection system. </w:t>
      </w:r>
    </w:p>
    <w:p w14:paraId="273554AA" w14:textId="77777777" w:rsidR="00485B37" w:rsidRPr="00A53EFB" w:rsidRDefault="006E2F8F" w:rsidP="00485B37">
      <w:pPr>
        <w:pStyle w:val="Paragraph"/>
        <w:spacing w:line="360" w:lineRule="auto"/>
        <w:ind w:firstLine="0"/>
        <w:contextualSpacing/>
        <w:rPr>
          <w:sz w:val="22"/>
          <w:szCs w:val="22"/>
          <w:lang w:val="en-GB"/>
        </w:rPr>
      </w:pPr>
      <w:r w:rsidRPr="00A53EFB">
        <w:rPr>
          <w:sz w:val="22"/>
          <w:szCs w:val="22"/>
          <w:lang w:val="en-GB"/>
        </w:rPr>
        <w:t>In addition, in the case of roofs which are difficult to be caved (which do not cave-in behind the powered supports line), it is proposed to carry out additional calculations using the evaluation of the force of the rock mass-section system according to dependence (2) [4, 14], in order to check the flows in the system protecting the leg</w:t>
      </w:r>
      <w:r w:rsidR="00485B37" w:rsidRPr="00A53EFB">
        <w:rPr>
          <w:sz w:val="22"/>
          <w:szCs w:val="22"/>
          <w:lang w:val="en-GB"/>
        </w:rPr>
        <w:t>:</w:t>
      </w:r>
    </w:p>
    <w:p w14:paraId="69EECB6F" w14:textId="242CB62F" w:rsidR="006E2F8F" w:rsidRPr="00A53EFB" w:rsidRDefault="00705BE7" w:rsidP="00485B37">
      <w:pPr>
        <w:pStyle w:val="Paragraph"/>
        <w:spacing w:line="360" w:lineRule="auto"/>
        <w:ind w:firstLine="0"/>
        <w:contextualSpacing/>
        <w:rPr>
          <w:sz w:val="22"/>
          <w:szCs w:val="22"/>
          <w:lang w:val="en-GB"/>
        </w:rPr>
      </w:pPr>
      <m:oMath>
        <m:sSub>
          <m:sSubPr>
            <m:ctrlPr>
              <w:rPr>
                <w:rFonts w:ascii="Cambria Math" w:hAnsi="Cambria Math"/>
                <w:i/>
                <w:sz w:val="22"/>
                <w:szCs w:val="22"/>
                <w:lang w:val="en-GB"/>
              </w:rPr>
            </m:ctrlPr>
          </m:sSubPr>
          <m:e>
            <m:r>
              <w:rPr>
                <w:rFonts w:ascii="Cambria Math" w:hAnsi="Cambria Math"/>
                <w:sz w:val="22"/>
                <w:szCs w:val="22"/>
                <w:lang w:val="en-GB"/>
              </w:rPr>
              <m:t>Q</m:t>
            </m:r>
          </m:e>
          <m:sub>
            <m:r>
              <w:rPr>
                <w:rFonts w:ascii="Cambria Math" w:hAnsi="Cambria Math"/>
                <w:sz w:val="22"/>
                <w:szCs w:val="22"/>
                <w:lang w:val="en-GB"/>
              </w:rPr>
              <m:t>u</m:t>
            </m:r>
          </m:sub>
        </m:sSub>
        <m:r>
          <w:rPr>
            <w:rFonts w:ascii="Cambria Math" w:hAnsi="Cambria Math"/>
            <w:sz w:val="22"/>
            <w:szCs w:val="22"/>
            <w:lang w:val="en-GB"/>
          </w:rPr>
          <m:t>≥</m:t>
        </m:r>
        <m:f>
          <m:fPr>
            <m:ctrlPr>
              <w:rPr>
                <w:rFonts w:ascii="Cambria Math" w:hAnsi="Cambria Math"/>
                <w:i/>
                <w:sz w:val="22"/>
                <w:szCs w:val="22"/>
                <w:lang w:val="en-GB"/>
              </w:rPr>
            </m:ctrlPr>
          </m:fPr>
          <m:num>
            <m:sSub>
              <m:sSubPr>
                <m:ctrlPr>
                  <w:rPr>
                    <w:rFonts w:ascii="Cambria Math" w:hAnsi="Cambria Math"/>
                    <w:i/>
                    <w:sz w:val="22"/>
                    <w:szCs w:val="22"/>
                    <w:lang w:val="en-GB"/>
                  </w:rPr>
                </m:ctrlPr>
              </m:sSubPr>
              <m:e>
                <m:r>
                  <w:rPr>
                    <w:rFonts w:ascii="Cambria Math" w:hAnsi="Cambria Math"/>
                    <w:sz w:val="22"/>
                    <w:szCs w:val="22"/>
                    <w:lang w:val="en-GB"/>
                  </w:rPr>
                  <m:t>F</m:t>
                </m:r>
              </m:e>
              <m:sub>
                <m:r>
                  <w:rPr>
                    <w:rFonts w:ascii="Cambria Math" w:hAnsi="Cambria Math"/>
                    <w:sz w:val="22"/>
                    <w:szCs w:val="22"/>
                    <w:lang w:val="en-GB"/>
                  </w:rPr>
                  <m:t>r</m:t>
                </m:r>
              </m:sub>
            </m:sSub>
            <m:d>
              <m:dPr>
                <m:ctrlPr>
                  <w:rPr>
                    <w:rFonts w:ascii="Cambria Math" w:hAnsi="Cambria Math"/>
                    <w:i/>
                    <w:sz w:val="22"/>
                    <w:szCs w:val="22"/>
                    <w:lang w:val="en-GB"/>
                  </w:rPr>
                </m:ctrlPr>
              </m:dPr>
              <m:e>
                <m:sSup>
                  <m:sSupPr>
                    <m:ctrlPr>
                      <w:rPr>
                        <w:rFonts w:ascii="Cambria Math" w:hAnsi="Cambria Math"/>
                        <w:i/>
                        <w:sz w:val="22"/>
                        <w:szCs w:val="22"/>
                        <w:lang w:val="en-GB"/>
                      </w:rPr>
                    </m:ctrlPr>
                  </m:sSupPr>
                  <m:e>
                    <m:sSub>
                      <m:sSubPr>
                        <m:ctrlPr>
                          <w:rPr>
                            <w:rFonts w:ascii="Cambria Math" w:hAnsi="Cambria Math"/>
                            <w:i/>
                            <w:sz w:val="22"/>
                            <w:szCs w:val="22"/>
                            <w:lang w:val="en-GB"/>
                          </w:rPr>
                        </m:ctrlPr>
                      </m:sSubPr>
                      <m:e>
                        <m:r>
                          <w:rPr>
                            <w:rFonts w:ascii="Cambria Math" w:hAnsi="Cambria Math"/>
                            <w:sz w:val="22"/>
                            <w:szCs w:val="22"/>
                            <w:lang w:val="en-GB"/>
                          </w:rPr>
                          <m:t>n</m:t>
                        </m:r>
                      </m:e>
                      <m:sub>
                        <m:r>
                          <w:rPr>
                            <w:rFonts w:ascii="Cambria Math" w:hAnsi="Cambria Math"/>
                            <w:sz w:val="22"/>
                            <w:szCs w:val="22"/>
                            <w:lang w:val="en-GB"/>
                          </w:rPr>
                          <m:t>tz</m:t>
                        </m:r>
                      </m:sub>
                    </m:sSub>
                  </m:e>
                  <m:sup>
                    <m:r>
                      <w:rPr>
                        <w:rFonts w:ascii="Cambria Math" w:hAnsi="Cambria Math"/>
                        <w:sz w:val="22"/>
                        <w:szCs w:val="22"/>
                        <w:lang w:val="en-GB"/>
                      </w:rPr>
                      <m:t>2</m:t>
                    </m:r>
                  </m:sup>
                </m:sSup>
                <m:r>
                  <w:rPr>
                    <w:rFonts w:ascii="Cambria Math" w:hAnsi="Cambria Math"/>
                    <w:sz w:val="22"/>
                    <w:szCs w:val="22"/>
                    <w:lang w:val="en-GB"/>
                  </w:rPr>
                  <m:t>-</m:t>
                </m:r>
                <m:sSub>
                  <m:sSubPr>
                    <m:ctrlPr>
                      <w:rPr>
                        <w:rFonts w:ascii="Cambria Math" w:hAnsi="Cambria Math"/>
                        <w:i/>
                        <w:sz w:val="22"/>
                        <w:szCs w:val="22"/>
                        <w:lang w:val="en-GB"/>
                      </w:rPr>
                    </m:ctrlPr>
                  </m:sSubPr>
                  <m:e>
                    <m:r>
                      <w:rPr>
                        <w:rFonts w:ascii="Cambria Math" w:hAnsi="Cambria Math"/>
                        <w:sz w:val="22"/>
                        <w:szCs w:val="22"/>
                        <w:lang w:val="en-GB"/>
                      </w:rPr>
                      <m:t>n</m:t>
                    </m:r>
                  </m:e>
                  <m:sub>
                    <m:r>
                      <w:rPr>
                        <w:rFonts w:ascii="Cambria Math" w:hAnsi="Cambria Math"/>
                        <w:sz w:val="22"/>
                        <w:szCs w:val="22"/>
                        <w:lang w:val="en-GB"/>
                      </w:rPr>
                      <m:t>tz</m:t>
                    </m:r>
                  </m:sub>
                </m:sSub>
              </m:e>
            </m:d>
          </m:num>
          <m:den>
            <m:r>
              <w:rPr>
                <w:rFonts w:ascii="Cambria Math" w:hAnsi="Cambria Math"/>
                <w:sz w:val="22"/>
                <w:szCs w:val="22"/>
                <w:lang w:val="en-GB"/>
              </w:rPr>
              <m:t>2</m:t>
            </m:r>
            <m:sSub>
              <m:sSubPr>
                <m:ctrlPr>
                  <w:rPr>
                    <w:rFonts w:ascii="Cambria Math" w:hAnsi="Cambria Math"/>
                    <w:i/>
                    <w:sz w:val="22"/>
                    <w:szCs w:val="22"/>
                    <w:lang w:val="en-GB"/>
                  </w:rPr>
                </m:ctrlPr>
              </m:sSubPr>
              <m:e>
                <m:r>
                  <w:rPr>
                    <w:rFonts w:ascii="Cambria Math" w:hAnsi="Cambria Math"/>
                    <w:sz w:val="22"/>
                    <w:szCs w:val="22"/>
                    <w:lang w:val="en-GB"/>
                  </w:rPr>
                  <m:t>P</m:t>
                </m:r>
              </m:e>
              <m:sub>
                <m:r>
                  <w:rPr>
                    <w:rFonts w:ascii="Cambria Math" w:hAnsi="Cambria Math"/>
                    <w:sz w:val="22"/>
                    <w:szCs w:val="22"/>
                    <w:lang w:val="en-GB"/>
                  </w:rPr>
                  <m:t>r</m:t>
                </m:r>
              </m:sub>
            </m:sSub>
            <m:r>
              <m:rPr>
                <m:sty m:val="p"/>
              </m:rPr>
              <w:rPr>
                <w:rFonts w:ascii="Cambria Math" w:hAnsi="Cambria Math"/>
                <w:sz w:val="22"/>
                <w:szCs w:val="22"/>
                <w:lang w:val="en-GB"/>
              </w:rPr>
              <m:t>cos α</m:t>
            </m:r>
          </m:den>
        </m:f>
        <m:r>
          <w:rPr>
            <w:rFonts w:ascii="Cambria Math" w:hAnsi="Cambria Math"/>
            <w:sz w:val="22"/>
            <w:szCs w:val="22"/>
            <w:lang w:val="en-GB"/>
          </w:rPr>
          <m:t>∙6∙</m:t>
        </m:r>
        <m:sSup>
          <m:sSupPr>
            <m:ctrlPr>
              <w:rPr>
                <w:rFonts w:ascii="Cambria Math" w:hAnsi="Cambria Math"/>
                <w:i/>
                <w:sz w:val="22"/>
                <w:szCs w:val="22"/>
                <w:lang w:val="en-GB"/>
              </w:rPr>
            </m:ctrlPr>
          </m:sSupPr>
          <m:e>
            <m:r>
              <w:rPr>
                <w:rFonts w:ascii="Cambria Math" w:hAnsi="Cambria Math"/>
                <w:sz w:val="22"/>
                <w:szCs w:val="22"/>
                <w:lang w:val="en-GB"/>
              </w:rPr>
              <m:t>10</m:t>
            </m:r>
          </m:e>
          <m:sup>
            <m:r>
              <w:rPr>
                <w:rFonts w:ascii="Cambria Math" w:hAnsi="Cambria Math"/>
                <w:sz w:val="22"/>
                <w:szCs w:val="22"/>
                <w:lang w:val="en-GB"/>
              </w:rPr>
              <m:t>4</m:t>
            </m:r>
          </m:sup>
        </m:sSup>
      </m:oMath>
      <w:r w:rsidR="006E2F8F" w:rsidRPr="00A53EFB">
        <w:rPr>
          <w:sz w:val="22"/>
          <w:szCs w:val="22"/>
          <w:lang w:val="en-GB"/>
        </w:rPr>
        <w:tab/>
      </w:r>
      <w:r w:rsidR="006E2F8F" w:rsidRPr="00A53EFB">
        <w:rPr>
          <w:sz w:val="22"/>
          <w:szCs w:val="22"/>
          <w:lang w:val="en-GB"/>
        </w:rPr>
        <w:tab/>
      </w:r>
      <w:r w:rsidR="006E2F8F" w:rsidRPr="00A53EFB">
        <w:rPr>
          <w:sz w:val="22"/>
          <w:szCs w:val="22"/>
          <w:lang w:val="en-GB"/>
        </w:rPr>
        <w:tab/>
      </w:r>
      <w:r w:rsidR="006E2F8F" w:rsidRPr="00A53EFB">
        <w:rPr>
          <w:sz w:val="22"/>
          <w:szCs w:val="22"/>
          <w:lang w:val="en-GB"/>
        </w:rPr>
        <w:tab/>
      </w:r>
      <w:r w:rsidR="006E2F8F" w:rsidRPr="00A53EFB">
        <w:rPr>
          <w:sz w:val="22"/>
          <w:szCs w:val="22"/>
          <w:lang w:val="en-GB"/>
        </w:rPr>
        <w:tab/>
      </w:r>
      <w:r w:rsidR="00485B37" w:rsidRPr="00A53EFB">
        <w:rPr>
          <w:sz w:val="22"/>
          <w:szCs w:val="22"/>
          <w:lang w:val="en-GB"/>
        </w:rPr>
        <w:tab/>
      </w:r>
      <w:r w:rsidR="006E2F8F" w:rsidRPr="00A53EFB">
        <w:rPr>
          <w:sz w:val="22"/>
          <w:szCs w:val="22"/>
          <w:lang w:val="en-GB"/>
        </w:rPr>
        <w:t>(2)</w:t>
      </w:r>
    </w:p>
    <w:p w14:paraId="08FF4848" w14:textId="77777777" w:rsidR="006E2F8F" w:rsidRPr="00A53EFB" w:rsidRDefault="006E2F8F" w:rsidP="00485B37">
      <w:pPr>
        <w:pStyle w:val="Paragraph"/>
        <w:spacing w:line="360" w:lineRule="auto"/>
        <w:ind w:firstLine="0"/>
        <w:contextualSpacing/>
        <w:rPr>
          <w:sz w:val="22"/>
          <w:szCs w:val="22"/>
          <w:lang w:val="en-GB"/>
        </w:rPr>
      </w:pPr>
      <w:r w:rsidRPr="00A53EFB">
        <w:rPr>
          <w:sz w:val="22"/>
          <w:szCs w:val="22"/>
          <w:lang w:val="en-GB"/>
        </w:rPr>
        <w:t>where:</w:t>
      </w:r>
    </w:p>
    <w:p w14:paraId="4484954C" w14:textId="2D5530BA" w:rsidR="006E2F8F" w:rsidRPr="00A53EFB" w:rsidRDefault="006E2F8F" w:rsidP="00485B37">
      <w:pPr>
        <w:pStyle w:val="Paragraph"/>
        <w:spacing w:line="360" w:lineRule="auto"/>
        <w:ind w:firstLine="0"/>
        <w:contextualSpacing/>
        <w:rPr>
          <w:sz w:val="22"/>
          <w:szCs w:val="22"/>
          <w:lang w:val="en-GB"/>
        </w:rPr>
      </w:pPr>
      <w:r w:rsidRPr="00A53EFB">
        <w:rPr>
          <w:sz w:val="22"/>
          <w:szCs w:val="22"/>
          <w:lang w:val="en-GB"/>
        </w:rPr>
        <w:t>Q – flow in the leg protection system [dm</w:t>
      </w:r>
      <w:r w:rsidRPr="00A53EFB">
        <w:rPr>
          <w:sz w:val="22"/>
          <w:szCs w:val="22"/>
          <w:vertAlign w:val="superscript"/>
          <w:lang w:val="en-GB"/>
        </w:rPr>
        <w:t>3</w:t>
      </w:r>
      <w:r w:rsidR="00485B37" w:rsidRPr="00A53EFB">
        <w:rPr>
          <w:sz w:val="22"/>
          <w:szCs w:val="22"/>
          <w:lang w:val="en-GB"/>
        </w:rPr>
        <w:t>∙</w:t>
      </w:r>
      <w:r w:rsidRPr="00A53EFB">
        <w:rPr>
          <w:sz w:val="22"/>
          <w:szCs w:val="22"/>
          <w:lang w:val="en-GB"/>
        </w:rPr>
        <w:t>min</w:t>
      </w:r>
      <w:r w:rsidRPr="00A53EFB">
        <w:rPr>
          <w:sz w:val="22"/>
          <w:szCs w:val="22"/>
          <w:vertAlign w:val="superscript"/>
          <w:lang w:val="en-GB"/>
        </w:rPr>
        <w:t>−1</w:t>
      </w:r>
      <w:r w:rsidRPr="00A53EFB">
        <w:rPr>
          <w:sz w:val="22"/>
          <w:szCs w:val="22"/>
          <w:lang w:val="en-GB"/>
        </w:rPr>
        <w:t>],</w:t>
      </w:r>
    </w:p>
    <w:p w14:paraId="2D6065B8" w14:textId="77777777" w:rsidR="006E2F8F" w:rsidRPr="00A53EFB" w:rsidRDefault="006E2F8F" w:rsidP="00485B37">
      <w:pPr>
        <w:pStyle w:val="Paragraph"/>
        <w:spacing w:line="360" w:lineRule="auto"/>
        <w:ind w:firstLine="0"/>
        <w:contextualSpacing/>
        <w:rPr>
          <w:sz w:val="22"/>
          <w:szCs w:val="22"/>
          <w:lang w:val="en-GB"/>
        </w:rPr>
      </w:pPr>
      <w:r w:rsidRPr="00A53EFB">
        <w:rPr>
          <w:iCs/>
          <w:sz w:val="22"/>
          <w:szCs w:val="22"/>
          <w:lang w:val="en-GB"/>
        </w:rPr>
        <w:lastRenderedPageBreak/>
        <w:t>F</w:t>
      </w:r>
      <w:r w:rsidRPr="00A53EFB">
        <w:rPr>
          <w:iCs/>
          <w:sz w:val="22"/>
          <w:szCs w:val="22"/>
          <w:vertAlign w:val="subscript"/>
          <w:lang w:val="en-GB"/>
        </w:rPr>
        <w:t>r</w:t>
      </w:r>
      <w:r w:rsidRPr="00A53EFB">
        <w:rPr>
          <w:iCs/>
          <w:sz w:val="22"/>
          <w:szCs w:val="22"/>
          <w:lang w:val="en-GB"/>
        </w:rPr>
        <w:t xml:space="preserve"> </w:t>
      </w:r>
      <w:r w:rsidRPr="00A53EFB">
        <w:rPr>
          <w:sz w:val="22"/>
          <w:szCs w:val="22"/>
          <w:lang w:val="en-GB"/>
        </w:rPr>
        <w:t>– working bearing capacity of the roof support [N],</w:t>
      </w:r>
    </w:p>
    <w:p w14:paraId="662B06E7" w14:textId="17714B61" w:rsidR="006E2F8F" w:rsidRPr="00A53EFB" w:rsidRDefault="006E2F8F" w:rsidP="00485B37">
      <w:pPr>
        <w:pStyle w:val="Paragraph"/>
        <w:spacing w:line="360" w:lineRule="auto"/>
        <w:ind w:firstLine="0"/>
        <w:contextualSpacing/>
        <w:rPr>
          <w:iCs/>
          <w:sz w:val="22"/>
          <w:szCs w:val="22"/>
          <w:lang w:val="en-GB"/>
        </w:rPr>
      </w:pPr>
      <w:r w:rsidRPr="00A53EFB">
        <w:rPr>
          <w:iCs/>
          <w:sz w:val="22"/>
          <w:szCs w:val="22"/>
          <w:lang w:val="en-GB"/>
        </w:rPr>
        <w:t>n</w:t>
      </w:r>
      <w:r w:rsidRPr="00A53EFB">
        <w:rPr>
          <w:iCs/>
          <w:sz w:val="22"/>
          <w:szCs w:val="22"/>
          <w:vertAlign w:val="subscript"/>
          <w:lang w:val="en-GB"/>
        </w:rPr>
        <w:t>tz</w:t>
      </w:r>
      <w:r w:rsidRPr="00A53EFB">
        <w:rPr>
          <w:iCs/>
          <w:sz w:val="22"/>
          <w:szCs w:val="22"/>
          <w:lang w:val="en-GB"/>
        </w:rPr>
        <w:t xml:space="preserve"> – load coefficient</w:t>
      </w:r>
      <w:r w:rsidR="004430E5" w:rsidRPr="00A53EFB">
        <w:rPr>
          <w:iCs/>
          <w:sz w:val="22"/>
          <w:szCs w:val="22"/>
          <w:lang w:val="en-GB"/>
        </w:rPr>
        <w:t xml:space="preserve"> [–]</w:t>
      </w:r>
      <w:r w:rsidRPr="00A53EFB">
        <w:rPr>
          <w:iCs/>
          <w:sz w:val="22"/>
          <w:szCs w:val="22"/>
          <w:lang w:val="en-GB"/>
        </w:rPr>
        <w:t>,</w:t>
      </w:r>
    </w:p>
    <w:p w14:paraId="1BB4BB90" w14:textId="77777777" w:rsidR="006E2F8F" w:rsidRPr="00A53EFB" w:rsidRDefault="006E2F8F" w:rsidP="00485B37">
      <w:pPr>
        <w:pStyle w:val="Paragraph"/>
        <w:spacing w:line="360" w:lineRule="auto"/>
        <w:ind w:firstLine="0"/>
        <w:contextualSpacing/>
        <w:rPr>
          <w:iCs/>
          <w:sz w:val="22"/>
          <w:szCs w:val="22"/>
          <w:lang w:val="en-GB"/>
        </w:rPr>
      </w:pPr>
      <w:r w:rsidRPr="00A53EFB">
        <w:rPr>
          <w:iCs/>
          <w:sz w:val="22"/>
          <w:szCs w:val="22"/>
          <w:lang w:val="en-GB"/>
        </w:rPr>
        <w:t>P</w:t>
      </w:r>
      <w:r w:rsidRPr="00A53EFB">
        <w:rPr>
          <w:iCs/>
          <w:sz w:val="22"/>
          <w:szCs w:val="22"/>
          <w:vertAlign w:val="subscript"/>
          <w:lang w:val="en-GB"/>
        </w:rPr>
        <w:t>r</w:t>
      </w:r>
      <w:r w:rsidRPr="00A53EFB">
        <w:rPr>
          <w:iCs/>
          <w:sz w:val="22"/>
          <w:szCs w:val="22"/>
          <w:lang w:val="en-GB"/>
        </w:rPr>
        <w:t xml:space="preserve"> – nominal bearing capacity of the leg [N].</w:t>
      </w:r>
    </w:p>
    <w:p w14:paraId="7973F628" w14:textId="77777777" w:rsidR="006E2F8F" w:rsidRPr="00A53EFB" w:rsidRDefault="006E2F8F" w:rsidP="002C3956">
      <w:pPr>
        <w:spacing w:before="0" w:after="0" w:line="360" w:lineRule="auto"/>
        <w:ind w:firstLine="0"/>
        <w:contextualSpacing/>
        <w:rPr>
          <w:sz w:val="22"/>
          <w:szCs w:val="22"/>
          <w:lang w:val="en-GB"/>
        </w:rPr>
      </w:pPr>
    </w:p>
    <w:p w14:paraId="42B720A4" w14:textId="25A94A0A" w:rsidR="001A091B" w:rsidRPr="00A53EFB" w:rsidRDefault="0020554E" w:rsidP="00485B37">
      <w:pPr>
        <w:spacing w:before="0" w:after="0" w:line="360" w:lineRule="auto"/>
        <w:ind w:firstLine="0"/>
        <w:contextualSpacing/>
        <w:jc w:val="left"/>
        <w:rPr>
          <w:sz w:val="22"/>
          <w:szCs w:val="22"/>
          <w:lang w:val="en-GB"/>
        </w:rPr>
      </w:pPr>
      <w:r w:rsidRPr="00A53EFB">
        <w:rPr>
          <w:sz w:val="22"/>
          <w:szCs w:val="22"/>
          <w:lang w:val="en-GB"/>
        </w:rPr>
        <w:t xml:space="preserve">3. </w:t>
      </w:r>
      <w:r w:rsidR="006E2F8F" w:rsidRPr="00A53EFB">
        <w:rPr>
          <w:sz w:val="22"/>
          <w:szCs w:val="22"/>
          <w:lang w:val="en-GB"/>
        </w:rPr>
        <w:t>PERFORMANCE AND TECHNICAL PARAMETERS</w:t>
      </w:r>
      <w:r w:rsidR="00C92697">
        <w:rPr>
          <w:sz w:val="22"/>
          <w:szCs w:val="22"/>
          <w:lang w:val="en-GB"/>
        </w:rPr>
        <w:br/>
      </w:r>
      <w:r w:rsidR="006E2F8F" w:rsidRPr="00A53EFB">
        <w:rPr>
          <w:sz w:val="22"/>
          <w:szCs w:val="22"/>
          <w:lang w:val="en-GB"/>
        </w:rPr>
        <w:t>OF CURRENTLY USED POWERED ROOF SUPPORTS</w:t>
      </w:r>
    </w:p>
    <w:p w14:paraId="3905F24B" w14:textId="6DBA9161" w:rsidR="006E2F8F" w:rsidRPr="00A53EFB" w:rsidRDefault="006E2F8F" w:rsidP="008931A5">
      <w:pPr>
        <w:pStyle w:val="Paragraph"/>
        <w:spacing w:line="360" w:lineRule="auto"/>
        <w:ind w:firstLine="0"/>
        <w:contextualSpacing/>
        <w:rPr>
          <w:sz w:val="22"/>
          <w:szCs w:val="22"/>
          <w:lang w:val="en-GB"/>
        </w:rPr>
      </w:pPr>
      <w:bookmarkStart w:id="9" w:name="OLE_LINK13"/>
      <w:r w:rsidRPr="00A53EFB">
        <w:rPr>
          <w:sz w:val="22"/>
          <w:szCs w:val="22"/>
          <w:lang w:val="en-GB"/>
        </w:rPr>
        <w:t>The analysis of studies concerning the powered roof support applied in seams with tremor hazard shows that the support most frequently used in USCB is shield support with two hydraulic legs. The most popular are double-telescopic hydraulic legs with a bottom valve, and their share in the whole analysed group is as much as 73% (</w:t>
      </w:r>
      <w:r w:rsidRPr="00A53EFB">
        <w:rPr>
          <w:sz w:val="22"/>
          <w:szCs w:val="22"/>
          <w:highlight w:val="yellow"/>
          <w:lang w:val="en-GB"/>
        </w:rPr>
        <w:t>Fig. 2</w:t>
      </w:r>
      <w:r w:rsidRPr="00A53EFB">
        <w:rPr>
          <w:sz w:val="22"/>
          <w:szCs w:val="22"/>
          <w:lang w:val="en-GB"/>
        </w:rPr>
        <w:t xml:space="preserve">). </w:t>
      </w:r>
    </w:p>
    <w:p w14:paraId="342CE882" w14:textId="5AC12F2E" w:rsidR="006E2F8F" w:rsidRPr="00A53EFB" w:rsidRDefault="006E2F8F" w:rsidP="002C3956">
      <w:pPr>
        <w:pStyle w:val="Paragraph"/>
        <w:spacing w:line="360" w:lineRule="auto"/>
        <w:contextualSpacing/>
        <w:rPr>
          <w:sz w:val="22"/>
          <w:szCs w:val="22"/>
          <w:lang w:val="en-GB"/>
        </w:rPr>
      </w:pPr>
      <w:r w:rsidRPr="00A53EFB">
        <w:rPr>
          <w:sz w:val="22"/>
          <w:szCs w:val="22"/>
          <w:lang w:val="en-GB"/>
        </w:rPr>
        <w:t>Single-telescopic legs with a mechanical extension are used less frequently, but their share is still substantial</w:t>
      </w:r>
      <w:r w:rsidR="00485B37" w:rsidRPr="00A53EFB">
        <w:rPr>
          <w:sz w:val="22"/>
          <w:szCs w:val="22"/>
          <w:lang w:val="en-GB"/>
        </w:rPr>
        <w:t xml:space="preserve"> (</w:t>
      </w:r>
      <w:r w:rsidRPr="00A53EFB">
        <w:rPr>
          <w:sz w:val="22"/>
          <w:szCs w:val="22"/>
          <w:lang w:val="en-GB"/>
        </w:rPr>
        <w:t>16%</w:t>
      </w:r>
      <w:r w:rsidR="00485B37" w:rsidRPr="00A53EFB">
        <w:rPr>
          <w:sz w:val="22"/>
          <w:szCs w:val="22"/>
          <w:lang w:val="en-GB"/>
        </w:rPr>
        <w:t>)</w:t>
      </w:r>
      <w:r w:rsidRPr="00A53EFB">
        <w:rPr>
          <w:sz w:val="22"/>
          <w:szCs w:val="22"/>
          <w:lang w:val="en-GB"/>
        </w:rPr>
        <w:t>. They are followed by double-telescopic legs (7%) with the so-called third piston. The remaining 5% are whose share in the group was the smallest, including double-telescopic legs with a bottom valve and a mechanical/hydraulic extension, as well as legs with a floating piston.</w:t>
      </w:r>
    </w:p>
    <w:p w14:paraId="403BD3F3" w14:textId="77777777" w:rsidR="00485B37" w:rsidRPr="00A53EFB" w:rsidRDefault="00485B37" w:rsidP="00485B37">
      <w:pPr>
        <w:pStyle w:val="Paragraph"/>
        <w:spacing w:line="360" w:lineRule="auto"/>
        <w:ind w:firstLine="0"/>
        <w:contextualSpacing/>
        <w:rPr>
          <w:sz w:val="22"/>
          <w:szCs w:val="22"/>
          <w:lang w:val="en-GB"/>
        </w:rPr>
      </w:pPr>
    </w:p>
    <w:p w14:paraId="3EEEDC8D" w14:textId="00FA4F74" w:rsidR="00A31CF9" w:rsidRPr="00A53EFB" w:rsidRDefault="00A31CF9" w:rsidP="004430E5">
      <w:pPr>
        <w:pStyle w:val="Paragraph"/>
        <w:spacing w:line="360" w:lineRule="auto"/>
        <w:ind w:firstLine="0"/>
        <w:contextualSpacing/>
        <w:rPr>
          <w:sz w:val="22"/>
          <w:szCs w:val="22"/>
          <w:lang w:val="en-GB"/>
        </w:rPr>
      </w:pPr>
      <w:r w:rsidRPr="00A53EFB">
        <w:rPr>
          <w:noProof/>
          <w:sz w:val="22"/>
          <w:szCs w:val="22"/>
          <w:lang w:val="en-GB"/>
        </w:rPr>
        <w:drawing>
          <wp:inline distT="0" distB="0" distL="0" distR="0" wp14:anchorId="09F50743" wp14:editId="75D018FA">
            <wp:extent cx="4127500" cy="2451100"/>
            <wp:effectExtent l="0" t="0" r="6350" b="6350"/>
            <wp:docPr id="14" name="Obraz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127500" cy="2451100"/>
                    </a:xfrm>
                    <a:prstGeom prst="rect">
                      <a:avLst/>
                    </a:prstGeom>
                    <a:noFill/>
                  </pic:spPr>
                </pic:pic>
              </a:graphicData>
            </a:graphic>
          </wp:inline>
        </w:drawing>
      </w:r>
    </w:p>
    <w:p w14:paraId="3742AE86" w14:textId="08710FB3" w:rsidR="006E2F8F" w:rsidRPr="00A53EFB" w:rsidRDefault="006E2F8F" w:rsidP="00485B37">
      <w:pPr>
        <w:spacing w:before="0" w:after="0" w:line="360" w:lineRule="auto"/>
        <w:ind w:firstLine="0"/>
        <w:contextualSpacing/>
        <w:rPr>
          <w:iCs/>
          <w:sz w:val="22"/>
          <w:szCs w:val="22"/>
          <w:lang w:val="en-GB"/>
        </w:rPr>
      </w:pPr>
      <w:r w:rsidRPr="00A53EFB">
        <w:rPr>
          <w:bCs/>
          <w:iCs/>
          <w:sz w:val="22"/>
          <w:szCs w:val="22"/>
          <w:lang w:val="en-GB"/>
        </w:rPr>
        <w:lastRenderedPageBreak/>
        <w:t>Fig</w:t>
      </w:r>
      <w:r w:rsidRPr="00A53EFB">
        <w:rPr>
          <w:iCs/>
          <w:sz w:val="22"/>
          <w:szCs w:val="22"/>
          <w:lang w:val="en-GB"/>
        </w:rPr>
        <w:t>. 2. Percentage share of various types of legs of the powered roof support used in 2016–2019</w:t>
      </w:r>
    </w:p>
    <w:p w14:paraId="142E1AA2" w14:textId="77777777" w:rsidR="006E2F8F" w:rsidRPr="00A53EFB" w:rsidRDefault="006E2F8F" w:rsidP="00485B37">
      <w:pPr>
        <w:spacing w:before="0" w:after="0" w:line="360" w:lineRule="auto"/>
        <w:ind w:firstLine="0"/>
        <w:contextualSpacing/>
        <w:rPr>
          <w:b/>
          <w:iCs/>
          <w:sz w:val="22"/>
          <w:szCs w:val="22"/>
          <w:lang w:val="en-GB"/>
        </w:rPr>
      </w:pPr>
    </w:p>
    <w:p w14:paraId="47C0650F" w14:textId="7950EDE1" w:rsidR="006E2F8F" w:rsidRPr="00A53EFB" w:rsidRDefault="006E2F8F" w:rsidP="00485B37">
      <w:pPr>
        <w:pStyle w:val="Paragraph"/>
        <w:spacing w:line="360" w:lineRule="auto"/>
        <w:ind w:firstLine="0"/>
        <w:contextualSpacing/>
        <w:rPr>
          <w:sz w:val="22"/>
          <w:szCs w:val="22"/>
          <w:lang w:val="en-GB"/>
        </w:rPr>
      </w:pPr>
      <w:r w:rsidRPr="00A53EFB">
        <w:rPr>
          <w:sz w:val="22"/>
          <w:szCs w:val="22"/>
          <w:lang w:val="en-GB"/>
        </w:rPr>
        <w:t xml:space="preserve">The percentage division of double-telescopic legs according to their first-degree diameter in the analysed set is shown in </w:t>
      </w:r>
      <w:r w:rsidRPr="00A53EFB">
        <w:rPr>
          <w:sz w:val="22"/>
          <w:szCs w:val="22"/>
          <w:highlight w:val="yellow"/>
          <w:lang w:val="en-GB"/>
        </w:rPr>
        <w:t>Figure 3</w:t>
      </w:r>
      <w:r w:rsidRPr="00A53EFB">
        <w:rPr>
          <w:sz w:val="22"/>
          <w:szCs w:val="22"/>
          <w:lang w:val="en-GB"/>
        </w:rPr>
        <w:t>.</w:t>
      </w:r>
    </w:p>
    <w:p w14:paraId="30C2CAA6" w14:textId="77777777" w:rsidR="00485B37" w:rsidRPr="00A53EFB" w:rsidRDefault="00485B37" w:rsidP="00485B37">
      <w:pPr>
        <w:pStyle w:val="Paragraph"/>
        <w:spacing w:line="360" w:lineRule="auto"/>
        <w:ind w:firstLine="0"/>
        <w:contextualSpacing/>
        <w:rPr>
          <w:sz w:val="22"/>
          <w:szCs w:val="22"/>
          <w:lang w:val="en-GB"/>
        </w:rPr>
      </w:pPr>
    </w:p>
    <w:p w14:paraId="68BD6806" w14:textId="5834A25B" w:rsidR="00A31CF9" w:rsidRPr="00A53EFB" w:rsidRDefault="00A31CF9" w:rsidP="004430E5">
      <w:pPr>
        <w:pStyle w:val="Paragraph"/>
        <w:spacing w:line="360" w:lineRule="auto"/>
        <w:ind w:firstLine="0"/>
        <w:contextualSpacing/>
        <w:rPr>
          <w:sz w:val="22"/>
          <w:szCs w:val="22"/>
          <w:lang w:val="en-GB"/>
        </w:rPr>
      </w:pPr>
      <w:r w:rsidRPr="00A53EFB">
        <w:rPr>
          <w:noProof/>
          <w:sz w:val="22"/>
          <w:szCs w:val="22"/>
          <w:lang w:val="en-GB"/>
        </w:rPr>
        <w:drawing>
          <wp:inline distT="0" distB="0" distL="0" distR="0" wp14:anchorId="03C9258E" wp14:editId="50AEAD21">
            <wp:extent cx="4523740" cy="2621280"/>
            <wp:effectExtent l="0" t="0" r="0" b="7620"/>
            <wp:docPr id="17" name="Obraz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523740" cy="2621280"/>
                    </a:xfrm>
                    <a:prstGeom prst="rect">
                      <a:avLst/>
                    </a:prstGeom>
                    <a:noFill/>
                  </pic:spPr>
                </pic:pic>
              </a:graphicData>
            </a:graphic>
          </wp:inline>
        </w:drawing>
      </w:r>
    </w:p>
    <w:p w14:paraId="0AE29593" w14:textId="77777777" w:rsidR="006E2F8F" w:rsidRPr="00A53EFB" w:rsidRDefault="006E2F8F" w:rsidP="00485B37">
      <w:pPr>
        <w:spacing w:before="0" w:after="0" w:line="360" w:lineRule="auto"/>
        <w:ind w:firstLine="0"/>
        <w:contextualSpacing/>
        <w:rPr>
          <w:iCs/>
          <w:sz w:val="22"/>
          <w:szCs w:val="22"/>
          <w:lang w:val="en-GB"/>
        </w:rPr>
      </w:pPr>
      <w:r w:rsidRPr="00A53EFB">
        <w:rPr>
          <w:bCs/>
          <w:iCs/>
          <w:sz w:val="22"/>
          <w:szCs w:val="22"/>
          <w:lang w:val="en-GB"/>
        </w:rPr>
        <w:t>Fig</w:t>
      </w:r>
      <w:r w:rsidRPr="00A53EFB">
        <w:rPr>
          <w:iCs/>
          <w:sz w:val="22"/>
          <w:szCs w:val="22"/>
          <w:lang w:val="en-GB"/>
        </w:rPr>
        <w:t>. 3. Percentage share of double-telescopic legs with the first-degree diameter in the analysed set</w:t>
      </w:r>
    </w:p>
    <w:p w14:paraId="3190F07C" w14:textId="77777777" w:rsidR="006E2F8F" w:rsidRPr="00A53EFB" w:rsidRDefault="006E2F8F" w:rsidP="00485B37">
      <w:pPr>
        <w:spacing w:before="0" w:after="0" w:line="360" w:lineRule="auto"/>
        <w:ind w:firstLine="0"/>
        <w:contextualSpacing/>
        <w:rPr>
          <w:sz w:val="22"/>
          <w:szCs w:val="22"/>
          <w:lang w:val="en-GB"/>
        </w:rPr>
      </w:pPr>
    </w:p>
    <w:p w14:paraId="206694D9" w14:textId="4A335068" w:rsidR="006E2F8F" w:rsidRPr="00A53EFB" w:rsidRDefault="006E2F8F" w:rsidP="00485B37">
      <w:pPr>
        <w:pStyle w:val="Paragraph"/>
        <w:spacing w:line="360" w:lineRule="auto"/>
        <w:ind w:firstLine="0"/>
        <w:contextualSpacing/>
        <w:rPr>
          <w:sz w:val="22"/>
          <w:szCs w:val="22"/>
          <w:lang w:val="en-GB"/>
        </w:rPr>
      </w:pPr>
      <w:r w:rsidRPr="00A53EFB">
        <w:rPr>
          <w:sz w:val="22"/>
          <w:szCs w:val="22"/>
          <w:lang w:val="en-GB"/>
        </w:rPr>
        <w:t xml:space="preserve">Currently, the most commonly used legs in the mines of USCB are those with first-stage diameters equal to 0.30 and 0.32 m, which is related to deteriorating geological and mining conditions. A large group are also </w:t>
      </w:r>
      <w:r w:rsidR="00485B37" w:rsidRPr="00A53EFB">
        <w:rPr>
          <w:sz w:val="22"/>
          <w:szCs w:val="22"/>
          <w:lang w:val="en-GB"/>
        </w:rPr>
        <w:t>legging</w:t>
      </w:r>
      <w:r w:rsidRPr="00A53EFB">
        <w:rPr>
          <w:sz w:val="22"/>
          <w:szCs w:val="22"/>
          <w:lang w:val="en-GB"/>
        </w:rPr>
        <w:t xml:space="preserve"> with a diameter of 0.25 m, which is related to repairs of previously operated roof supports. </w:t>
      </w:r>
    </w:p>
    <w:p w14:paraId="1A690D78" w14:textId="77777777" w:rsidR="006E2F8F" w:rsidRPr="00A53EFB" w:rsidRDefault="006E2F8F" w:rsidP="00485B37">
      <w:pPr>
        <w:pStyle w:val="Paragraph"/>
        <w:spacing w:line="360" w:lineRule="auto"/>
        <w:ind w:firstLine="0"/>
        <w:contextualSpacing/>
        <w:rPr>
          <w:sz w:val="22"/>
          <w:szCs w:val="22"/>
          <w:lang w:val="en-GB"/>
        </w:rPr>
      </w:pPr>
      <w:r w:rsidRPr="00A53EFB">
        <w:rPr>
          <w:sz w:val="22"/>
          <w:szCs w:val="22"/>
          <w:lang w:val="en-GB"/>
        </w:rPr>
        <w:t xml:space="preserve">More than 60% of ongoing mining activity takes place in the conditions of tremor hazard, which is confirmed by the fact that mines increasingly often purchase powered roof supports with legs having diameters of ≥0.30 m, in order to obtain a </w:t>
      </w:r>
      <w:r w:rsidRPr="00A53EFB">
        <w:rPr>
          <w:sz w:val="22"/>
          <w:szCs w:val="22"/>
          <w:lang w:val="en-GB"/>
        </w:rPr>
        <w:lastRenderedPageBreak/>
        <w:t xml:space="preserve">greater load-bearing capacity for the supports and ensure proper conditions for maintaining the longwall roof. </w:t>
      </w:r>
    </w:p>
    <w:p w14:paraId="4B3676C1" w14:textId="5911B0C9" w:rsidR="006E2F8F" w:rsidRPr="00A53EFB" w:rsidRDefault="006E2F8F" w:rsidP="00485B37">
      <w:pPr>
        <w:pStyle w:val="Paragraph"/>
        <w:spacing w:line="360" w:lineRule="auto"/>
        <w:ind w:firstLine="0"/>
        <w:contextualSpacing/>
        <w:rPr>
          <w:sz w:val="22"/>
          <w:szCs w:val="22"/>
          <w:lang w:val="en-GB"/>
        </w:rPr>
      </w:pPr>
      <w:r w:rsidRPr="00A53EFB">
        <w:rPr>
          <w:sz w:val="22"/>
          <w:szCs w:val="22"/>
          <w:lang w:val="en-GB"/>
        </w:rPr>
        <w:t xml:space="preserve">The remaining 8% of the analysed cases, are legs with rarely applied diameters, </w:t>
      </w:r>
      <w:r w:rsidR="00485B37" w:rsidRPr="00A53EFB">
        <w:rPr>
          <w:sz w:val="22"/>
          <w:szCs w:val="22"/>
          <w:lang w:val="en-GB"/>
        </w:rPr>
        <w:t>i.e.,</w:t>
      </w:r>
      <w:r w:rsidRPr="00A53EFB">
        <w:rPr>
          <w:sz w:val="22"/>
          <w:szCs w:val="22"/>
          <w:lang w:val="en-GB"/>
        </w:rPr>
        <w:t xml:space="preserve"> 0.255 m; 0.265 m; 0.275 m; 0.29 m (usually post-repair legs), as well as new roof supports on the market, which include higher diameters: 0.37 m; 0.38 m; 0.39 m; 0.40 m; 0.42</w:t>
      </w:r>
      <w:r w:rsidR="00485B37" w:rsidRPr="00A53EFB">
        <w:rPr>
          <w:sz w:val="22"/>
          <w:szCs w:val="22"/>
          <w:lang w:val="en-GB"/>
        </w:rPr>
        <w:t xml:space="preserve"> </w:t>
      </w:r>
      <w:r w:rsidRPr="00A53EFB">
        <w:rPr>
          <w:sz w:val="22"/>
          <w:szCs w:val="22"/>
          <w:lang w:val="en-GB"/>
        </w:rPr>
        <w:t>m.</w:t>
      </w:r>
    </w:p>
    <w:p w14:paraId="0376B2DE" w14:textId="77777777" w:rsidR="006E2F8F" w:rsidRPr="00A53EFB" w:rsidRDefault="006E2F8F" w:rsidP="00485B37">
      <w:pPr>
        <w:pStyle w:val="Paragraph"/>
        <w:spacing w:line="360" w:lineRule="auto"/>
        <w:ind w:firstLine="0"/>
        <w:contextualSpacing/>
        <w:rPr>
          <w:sz w:val="22"/>
          <w:szCs w:val="22"/>
          <w:lang w:val="en-GB"/>
        </w:rPr>
      </w:pPr>
      <w:r w:rsidRPr="00A53EFB">
        <w:rPr>
          <w:sz w:val="22"/>
          <w:szCs w:val="22"/>
          <w:lang w:val="en-GB"/>
        </w:rPr>
        <w:t xml:space="preserve">It is estimated that due to increasing mining depth, legs with diameters of ≥0.37 m will be more widely used in the future, and their percentage share will increase significantly. </w:t>
      </w:r>
    </w:p>
    <w:p w14:paraId="7BB89F93" w14:textId="6E5C6F37" w:rsidR="006E2F8F" w:rsidRPr="00A53EFB" w:rsidRDefault="006E2F8F" w:rsidP="00485B37">
      <w:pPr>
        <w:pStyle w:val="Paragraph"/>
        <w:spacing w:line="360" w:lineRule="auto"/>
        <w:ind w:firstLine="0"/>
        <w:contextualSpacing/>
        <w:rPr>
          <w:sz w:val="22"/>
          <w:szCs w:val="22"/>
          <w:lang w:val="en-GB"/>
        </w:rPr>
      </w:pPr>
      <w:r w:rsidRPr="00A53EFB">
        <w:rPr>
          <w:sz w:val="22"/>
          <w:szCs w:val="22"/>
          <w:lang w:val="en-GB"/>
        </w:rPr>
        <w:t xml:space="preserve">As regards single-telescopic legs with a mechanical extension, most of the legs that are currently applied in USCB conditions are those with diameters of 0.20 and 0.25 m, as shown in </w:t>
      </w:r>
      <w:r w:rsidRPr="00A53EFB">
        <w:rPr>
          <w:sz w:val="22"/>
          <w:szCs w:val="22"/>
          <w:highlight w:val="yellow"/>
          <w:lang w:val="en-GB"/>
        </w:rPr>
        <w:t>Figure 4</w:t>
      </w:r>
      <w:r w:rsidRPr="00A53EFB">
        <w:rPr>
          <w:sz w:val="22"/>
          <w:szCs w:val="22"/>
          <w:lang w:val="en-GB"/>
        </w:rPr>
        <w:t>.</w:t>
      </w:r>
    </w:p>
    <w:p w14:paraId="6B237263" w14:textId="77777777" w:rsidR="004430E5" w:rsidRPr="00A53EFB" w:rsidRDefault="004430E5" w:rsidP="00485B37">
      <w:pPr>
        <w:pStyle w:val="Paragraph"/>
        <w:spacing w:line="360" w:lineRule="auto"/>
        <w:ind w:firstLine="0"/>
        <w:contextualSpacing/>
        <w:rPr>
          <w:sz w:val="22"/>
          <w:szCs w:val="22"/>
          <w:lang w:val="en-GB"/>
        </w:rPr>
      </w:pPr>
    </w:p>
    <w:p w14:paraId="71287D4C" w14:textId="119E336C" w:rsidR="00A31CF9" w:rsidRPr="00A53EFB" w:rsidRDefault="00A31CF9" w:rsidP="004430E5">
      <w:pPr>
        <w:pStyle w:val="Paragraph"/>
        <w:spacing w:line="360" w:lineRule="auto"/>
        <w:ind w:firstLine="0"/>
        <w:contextualSpacing/>
        <w:rPr>
          <w:sz w:val="22"/>
          <w:szCs w:val="22"/>
          <w:lang w:val="en-GB"/>
        </w:rPr>
      </w:pPr>
      <w:r w:rsidRPr="00A53EFB">
        <w:rPr>
          <w:noProof/>
          <w:sz w:val="22"/>
          <w:szCs w:val="22"/>
          <w:lang w:val="en-GB"/>
        </w:rPr>
        <w:drawing>
          <wp:inline distT="0" distB="0" distL="0" distR="0" wp14:anchorId="6BC82A7C" wp14:editId="5E377C08">
            <wp:extent cx="4231005" cy="2597150"/>
            <wp:effectExtent l="0" t="0" r="0" b="0"/>
            <wp:docPr id="19" name="Obraz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231005" cy="2597150"/>
                    </a:xfrm>
                    <a:prstGeom prst="rect">
                      <a:avLst/>
                    </a:prstGeom>
                    <a:noFill/>
                  </pic:spPr>
                </pic:pic>
              </a:graphicData>
            </a:graphic>
          </wp:inline>
        </w:drawing>
      </w:r>
    </w:p>
    <w:p w14:paraId="2FAEBF68" w14:textId="77777777" w:rsidR="006E2F8F" w:rsidRPr="00A53EFB" w:rsidRDefault="006E2F8F" w:rsidP="004430E5">
      <w:pPr>
        <w:spacing w:before="0" w:after="0" w:line="360" w:lineRule="auto"/>
        <w:ind w:firstLine="0"/>
        <w:contextualSpacing/>
        <w:rPr>
          <w:iCs/>
          <w:sz w:val="22"/>
          <w:szCs w:val="22"/>
          <w:lang w:val="en-GB"/>
        </w:rPr>
      </w:pPr>
      <w:r w:rsidRPr="00A53EFB">
        <w:rPr>
          <w:bCs/>
          <w:iCs/>
          <w:sz w:val="22"/>
          <w:szCs w:val="22"/>
          <w:lang w:val="en-GB"/>
        </w:rPr>
        <w:t>Fig</w:t>
      </w:r>
      <w:r w:rsidRPr="00A53EFB">
        <w:rPr>
          <w:iCs/>
          <w:sz w:val="22"/>
          <w:szCs w:val="22"/>
          <w:lang w:val="en-GB"/>
        </w:rPr>
        <w:t xml:space="preserve">. 4. Percentage share of single-telescopic legs in the analysed set by their diameter </w:t>
      </w:r>
    </w:p>
    <w:p w14:paraId="5DF1D025" w14:textId="77777777" w:rsidR="006E2F8F" w:rsidRPr="00A53EFB" w:rsidRDefault="006E2F8F" w:rsidP="002C3956">
      <w:pPr>
        <w:spacing w:before="0" w:after="0" w:line="360" w:lineRule="auto"/>
        <w:contextualSpacing/>
        <w:jc w:val="center"/>
        <w:rPr>
          <w:sz w:val="22"/>
          <w:szCs w:val="22"/>
          <w:lang w:val="en-GB"/>
        </w:rPr>
      </w:pPr>
    </w:p>
    <w:p w14:paraId="20CB13B4" w14:textId="0E435DC9" w:rsidR="006E2F8F" w:rsidRPr="00A53EFB" w:rsidRDefault="006E2F8F" w:rsidP="004430E5">
      <w:pPr>
        <w:pStyle w:val="Paragraph"/>
        <w:spacing w:line="360" w:lineRule="auto"/>
        <w:ind w:firstLine="0"/>
        <w:contextualSpacing/>
        <w:rPr>
          <w:sz w:val="22"/>
          <w:szCs w:val="22"/>
          <w:lang w:val="en-GB"/>
        </w:rPr>
      </w:pPr>
      <w:r w:rsidRPr="00A53EFB">
        <w:rPr>
          <w:sz w:val="22"/>
          <w:szCs w:val="22"/>
          <w:lang w:val="en-GB"/>
        </w:rPr>
        <w:lastRenderedPageBreak/>
        <w:t xml:space="preserve">The percentage share of legs in the collective analysis by the value of overload factor in the full (type) test at the time of their placement on the market is shown in </w:t>
      </w:r>
      <w:r w:rsidRPr="00A53EFB">
        <w:rPr>
          <w:sz w:val="22"/>
          <w:szCs w:val="22"/>
          <w:highlight w:val="yellow"/>
          <w:lang w:val="en-GB"/>
        </w:rPr>
        <w:t>Figure 5</w:t>
      </w:r>
      <w:r w:rsidRPr="00A53EFB">
        <w:rPr>
          <w:sz w:val="22"/>
          <w:szCs w:val="22"/>
          <w:lang w:val="en-GB"/>
        </w:rPr>
        <w:t>.</w:t>
      </w:r>
    </w:p>
    <w:p w14:paraId="4971AB61" w14:textId="77777777" w:rsidR="004430E5" w:rsidRPr="00A53EFB" w:rsidRDefault="004430E5" w:rsidP="004430E5">
      <w:pPr>
        <w:pStyle w:val="Paragraph"/>
        <w:spacing w:line="360" w:lineRule="auto"/>
        <w:ind w:firstLine="0"/>
        <w:contextualSpacing/>
        <w:rPr>
          <w:sz w:val="22"/>
          <w:szCs w:val="22"/>
          <w:lang w:val="en-GB"/>
        </w:rPr>
      </w:pPr>
    </w:p>
    <w:p w14:paraId="29BFA853" w14:textId="705A0521" w:rsidR="006E2F8F" w:rsidRPr="00A53EFB" w:rsidRDefault="00A31CF9" w:rsidP="004430E5">
      <w:pPr>
        <w:pStyle w:val="Paragraph"/>
        <w:spacing w:line="360" w:lineRule="auto"/>
        <w:ind w:firstLine="0"/>
        <w:contextualSpacing/>
        <w:rPr>
          <w:sz w:val="22"/>
          <w:szCs w:val="22"/>
          <w:lang w:val="en-GB"/>
        </w:rPr>
      </w:pPr>
      <w:r w:rsidRPr="00A53EFB">
        <w:rPr>
          <w:noProof/>
          <w:sz w:val="22"/>
          <w:szCs w:val="22"/>
          <w:lang w:val="en-GB"/>
        </w:rPr>
        <w:drawing>
          <wp:inline distT="0" distB="0" distL="0" distR="0" wp14:anchorId="77C4C644" wp14:editId="0CFA108F">
            <wp:extent cx="3987165" cy="2310765"/>
            <wp:effectExtent l="0" t="0" r="0" b="0"/>
            <wp:docPr id="20" name="Obraz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987165" cy="2310765"/>
                    </a:xfrm>
                    <a:prstGeom prst="rect">
                      <a:avLst/>
                    </a:prstGeom>
                    <a:noFill/>
                  </pic:spPr>
                </pic:pic>
              </a:graphicData>
            </a:graphic>
          </wp:inline>
        </w:drawing>
      </w:r>
    </w:p>
    <w:p w14:paraId="4F237854" w14:textId="77777777" w:rsidR="006E2F8F" w:rsidRPr="00A53EFB" w:rsidRDefault="006E2F8F" w:rsidP="004430E5">
      <w:pPr>
        <w:spacing w:before="0" w:after="0" w:line="360" w:lineRule="auto"/>
        <w:ind w:firstLine="0"/>
        <w:contextualSpacing/>
        <w:rPr>
          <w:iCs/>
          <w:sz w:val="22"/>
          <w:szCs w:val="22"/>
          <w:lang w:val="en-GB"/>
        </w:rPr>
      </w:pPr>
      <w:commentRangeStart w:id="10"/>
      <w:r w:rsidRPr="00A53EFB">
        <w:rPr>
          <w:bCs/>
          <w:iCs/>
          <w:sz w:val="22"/>
          <w:szCs w:val="22"/>
          <w:lang w:val="en-GB"/>
        </w:rPr>
        <w:t>Fig</w:t>
      </w:r>
      <w:r w:rsidRPr="00A53EFB">
        <w:rPr>
          <w:iCs/>
          <w:sz w:val="22"/>
          <w:szCs w:val="22"/>
          <w:lang w:val="en-GB"/>
        </w:rPr>
        <w:t>. 5</w:t>
      </w:r>
      <w:commentRangeEnd w:id="10"/>
      <w:r w:rsidR="004430E5" w:rsidRPr="00A53EFB">
        <w:rPr>
          <w:rStyle w:val="Odwoaniedokomentarza"/>
          <w:sz w:val="22"/>
          <w:szCs w:val="22"/>
        </w:rPr>
        <w:commentReference w:id="10"/>
      </w:r>
      <w:r w:rsidRPr="00A53EFB">
        <w:rPr>
          <w:iCs/>
          <w:sz w:val="22"/>
          <w:szCs w:val="22"/>
          <w:lang w:val="en-GB"/>
        </w:rPr>
        <w:t>. Percentage of legs of powered roof supports by the value of overload factor in the full test</w:t>
      </w:r>
    </w:p>
    <w:p w14:paraId="1ECC164B" w14:textId="77777777" w:rsidR="006E2F8F" w:rsidRPr="00A53EFB" w:rsidRDefault="006E2F8F" w:rsidP="002C3956">
      <w:pPr>
        <w:spacing w:before="0" w:after="0" w:line="360" w:lineRule="auto"/>
        <w:contextualSpacing/>
        <w:rPr>
          <w:sz w:val="22"/>
          <w:szCs w:val="22"/>
          <w:lang w:val="en-GB"/>
        </w:rPr>
      </w:pPr>
    </w:p>
    <w:p w14:paraId="168004AE" w14:textId="3571F34E" w:rsidR="006E2F8F" w:rsidRPr="00A53EFB" w:rsidRDefault="006E2F8F" w:rsidP="004430E5">
      <w:pPr>
        <w:spacing w:before="0" w:after="0" w:line="360" w:lineRule="auto"/>
        <w:ind w:firstLine="0"/>
        <w:contextualSpacing/>
        <w:rPr>
          <w:sz w:val="22"/>
          <w:szCs w:val="22"/>
          <w:lang w:val="en-GB"/>
        </w:rPr>
      </w:pPr>
      <w:r w:rsidRPr="00A53EFB">
        <w:rPr>
          <w:sz w:val="22"/>
          <w:szCs w:val="22"/>
          <w:lang w:val="en-GB"/>
        </w:rPr>
        <w:t>The supply pressure of the support is between 25.0 and 32.0 MPa. Currently, over 90% of all roof supports used in USCB are supplied with 25.0 MPa. In individual cases, the support is supplied with a higher pressure, which most often results from the need to maintain proper roof conditions (</w:t>
      </w:r>
      <w:r w:rsidR="004430E5" w:rsidRPr="00A53EFB">
        <w:rPr>
          <w:sz w:val="22"/>
          <w:szCs w:val="22"/>
          <w:lang w:val="en-GB"/>
        </w:rPr>
        <w:t>“</w:t>
      </w:r>
      <w:r w:rsidRPr="00A53EFB">
        <w:rPr>
          <w:sz w:val="22"/>
          <w:szCs w:val="22"/>
          <w:lang w:val="en-GB"/>
        </w:rPr>
        <w:t>g</w:t>
      </w:r>
      <w:r w:rsidR="004430E5" w:rsidRPr="00A53EFB">
        <w:rPr>
          <w:sz w:val="22"/>
          <w:szCs w:val="22"/>
          <w:lang w:val="en-GB"/>
        </w:rPr>
        <w:t>”</w:t>
      </w:r>
      <w:r w:rsidRPr="00A53EFB">
        <w:rPr>
          <w:sz w:val="22"/>
          <w:szCs w:val="22"/>
          <w:lang w:val="en-GB"/>
        </w:rPr>
        <w:t xml:space="preserve"> index ≥ 0.8).</w:t>
      </w:r>
    </w:p>
    <w:p w14:paraId="7BA75290" w14:textId="6F8FBA78" w:rsidR="0020554E" w:rsidRPr="00A53EFB" w:rsidRDefault="006E2F8F" w:rsidP="002C3956">
      <w:pPr>
        <w:spacing w:before="0" w:after="0" w:line="360" w:lineRule="auto"/>
        <w:contextualSpacing/>
        <w:rPr>
          <w:sz w:val="22"/>
          <w:szCs w:val="22"/>
          <w:lang w:val="en-GB"/>
        </w:rPr>
      </w:pPr>
      <w:r w:rsidRPr="00A53EFB">
        <w:rPr>
          <w:sz w:val="22"/>
          <w:szCs w:val="22"/>
          <w:lang w:val="en-GB"/>
        </w:rPr>
        <w:t xml:space="preserve">Important elements of the powered roof support designed to work in the conditions of mining tremors are: a hydraulic control system, protection against overload and operational parameters. Studies on the introduction of the electrohydraulic control system for longwall shearers which has been developed in Poland are in progress; the solutions are likely to be implemented in the coming years [15]. Systems for monitoring the operating parameters of the PRS are being promoted and almost every new support is already equipped with such a system [16, 17]. The legs are </w:t>
      </w:r>
      <w:r w:rsidRPr="00A53EFB">
        <w:rPr>
          <w:sz w:val="22"/>
          <w:szCs w:val="22"/>
          <w:lang w:val="en-GB"/>
        </w:rPr>
        <w:lastRenderedPageBreak/>
        <w:t xml:space="preserve">protected against overload by using </w:t>
      </w:r>
      <w:r w:rsidR="004430E5" w:rsidRPr="00A53EFB">
        <w:rPr>
          <w:sz w:val="22"/>
          <w:szCs w:val="22"/>
          <w:lang w:val="en-GB"/>
        </w:rPr>
        <w:t>high-capacity</w:t>
      </w:r>
      <w:r w:rsidRPr="00A53EFB">
        <w:rPr>
          <w:sz w:val="22"/>
          <w:szCs w:val="22"/>
          <w:lang w:val="en-GB"/>
        </w:rPr>
        <w:t xml:space="preserve"> valves, the values of which are usually specified in studies on the yielding capacity of supports operating in the conditions of mining tremor hazard.</w:t>
      </w:r>
    </w:p>
    <w:p w14:paraId="6CFAC189" w14:textId="77777777" w:rsidR="006E2F8F" w:rsidRPr="00A53EFB" w:rsidRDefault="006E2F8F" w:rsidP="002C3956">
      <w:pPr>
        <w:spacing w:before="0" w:after="0" w:line="360" w:lineRule="auto"/>
        <w:contextualSpacing/>
        <w:rPr>
          <w:sz w:val="22"/>
          <w:szCs w:val="22"/>
          <w:lang w:val="en-GB"/>
        </w:rPr>
      </w:pPr>
    </w:p>
    <w:bookmarkEnd w:id="9"/>
    <w:p w14:paraId="62D1D717" w14:textId="77777777" w:rsidR="001A091B" w:rsidRPr="00A53EFB" w:rsidRDefault="00E51DB8" w:rsidP="004430E5">
      <w:pPr>
        <w:spacing w:before="0" w:after="0" w:line="360" w:lineRule="auto"/>
        <w:ind w:firstLine="0"/>
        <w:contextualSpacing/>
        <w:rPr>
          <w:sz w:val="22"/>
          <w:szCs w:val="22"/>
          <w:lang w:val="en-GB"/>
        </w:rPr>
      </w:pPr>
      <w:r w:rsidRPr="00A53EFB">
        <w:rPr>
          <w:sz w:val="22"/>
          <w:szCs w:val="22"/>
          <w:lang w:val="en-GB"/>
        </w:rPr>
        <w:t>5. CONCLUSIONS</w:t>
      </w:r>
    </w:p>
    <w:p w14:paraId="2EA89925" w14:textId="77777777" w:rsidR="006E2F8F" w:rsidRPr="00A53EFB" w:rsidRDefault="006E2F8F" w:rsidP="002C3956">
      <w:pPr>
        <w:spacing w:before="0" w:after="0" w:line="360" w:lineRule="auto"/>
        <w:ind w:firstLine="0"/>
        <w:contextualSpacing/>
        <w:rPr>
          <w:sz w:val="22"/>
          <w:szCs w:val="22"/>
          <w:lang w:val="en-GB"/>
        </w:rPr>
      </w:pPr>
      <w:r w:rsidRPr="00A53EFB">
        <w:rPr>
          <w:sz w:val="22"/>
          <w:szCs w:val="22"/>
          <w:lang w:val="en-GB"/>
        </w:rPr>
        <w:t xml:space="preserve">A powered roof support is one of the basic elements of the longwall system. Its proper operation has a significant impact on the efficiency and efficacy of the extraction process, as well as on general safety in the longwall. The longwall equipment usually consists of approximately 100–150 supports. The most common type of supports used in USCB mines is the shield support, and the most popular leg is the double-telescopic type with a bottom valve. The diameter of the first stage of the leg ranges from 0.2 to more than 0.4 m, which results in more than four-time difference in the value of the applied load bearing capacity. The legs are protected against overload by hydraulic valves with appropriately selected flow rates [4, 18]. </w:t>
      </w:r>
    </w:p>
    <w:p w14:paraId="1507FDE1" w14:textId="77777777" w:rsidR="006E2F8F" w:rsidRPr="00A53EFB" w:rsidRDefault="006E2F8F" w:rsidP="002C3956">
      <w:pPr>
        <w:spacing w:before="0" w:after="0" w:line="360" w:lineRule="auto"/>
        <w:ind w:firstLine="0"/>
        <w:contextualSpacing/>
        <w:rPr>
          <w:sz w:val="22"/>
          <w:szCs w:val="22"/>
          <w:lang w:val="en-GB"/>
        </w:rPr>
      </w:pPr>
      <w:r w:rsidRPr="00A53EFB">
        <w:rPr>
          <w:sz w:val="22"/>
          <w:szCs w:val="22"/>
          <w:lang w:val="en-GB"/>
        </w:rPr>
        <w:t>The new powered roof supports are equipped with legs having diameters of minimum 0.30 m. The smallest diameters are most frequently applied in the legs of older supports manufactured before Poland’s accession to the European Union.</w:t>
      </w:r>
    </w:p>
    <w:p w14:paraId="6EA3679E" w14:textId="77777777" w:rsidR="006E2F8F" w:rsidRPr="00A53EFB" w:rsidRDefault="006E2F8F" w:rsidP="002C3956">
      <w:pPr>
        <w:spacing w:before="0" w:after="0" w:line="360" w:lineRule="auto"/>
        <w:ind w:firstLine="0"/>
        <w:contextualSpacing/>
        <w:rPr>
          <w:sz w:val="22"/>
          <w:szCs w:val="22"/>
          <w:lang w:val="en-GB"/>
        </w:rPr>
      </w:pPr>
      <w:r w:rsidRPr="00A53EFB">
        <w:rPr>
          <w:sz w:val="22"/>
          <w:szCs w:val="22"/>
          <w:lang w:val="en-GB"/>
        </w:rPr>
        <w:t>Currently, powered roof supports are produced in compliance with EU regulations. If the supports are designed to operate in the conditions of mining tremor, they must additionally meet the requirements resulting from the OSH regulation on yielding protection of issued by the relevant Minister [1] which requires the support to take over the additional load resulting from the tremors.</w:t>
      </w:r>
    </w:p>
    <w:p w14:paraId="0DCB1229" w14:textId="69F65AE2" w:rsidR="006E2F8F" w:rsidRPr="00A53EFB" w:rsidRDefault="006E2F8F" w:rsidP="002C3956">
      <w:pPr>
        <w:spacing w:before="0" w:after="0" w:line="360" w:lineRule="auto"/>
        <w:ind w:firstLine="0"/>
        <w:contextualSpacing/>
        <w:rPr>
          <w:sz w:val="22"/>
          <w:szCs w:val="22"/>
          <w:lang w:val="en-GB"/>
        </w:rPr>
      </w:pPr>
      <w:r w:rsidRPr="00A53EFB">
        <w:rPr>
          <w:sz w:val="22"/>
          <w:szCs w:val="22"/>
          <w:lang w:val="en-GB"/>
        </w:rPr>
        <w:t xml:space="preserve">The Annual Report on the State of Basic Natural and Technical Hazards in Hard Coal Mining in 2018 [19] stated that the total output from the longwalls classified as threatened by tremors amounted to approximately 54% of the total volume of output in Polish mines. Since the classification of a seam into an appropriate tremor hazard group is not a measure of the occurrence of high-energy rock mass tremors, it should be assumed that rock mass tremors currently affect more than 60% of the </w:t>
      </w:r>
      <w:r w:rsidRPr="00A53EFB">
        <w:rPr>
          <w:sz w:val="22"/>
          <w:szCs w:val="22"/>
          <w:lang w:val="en-GB"/>
        </w:rPr>
        <w:lastRenderedPageBreak/>
        <w:t xml:space="preserve">exploited seams. The degree of tremor hazard is assessed as medium, but in a few </w:t>
      </w:r>
      <w:r w:rsidR="00A31CF9" w:rsidRPr="00A53EFB">
        <w:rPr>
          <w:sz w:val="22"/>
          <w:szCs w:val="22"/>
          <w:lang w:val="en-GB"/>
        </w:rPr>
        <w:t>cases,</w:t>
      </w:r>
      <w:r w:rsidRPr="00A53EFB">
        <w:rPr>
          <w:sz w:val="22"/>
          <w:szCs w:val="22"/>
          <w:lang w:val="en-GB"/>
        </w:rPr>
        <w:t xml:space="preserve"> it is much higher. The yielding is assessed by the Central Mining Institute according to its own method, on the basis of documents provided by the ordering party.</w:t>
      </w:r>
    </w:p>
    <w:p w14:paraId="428468D0" w14:textId="2B09727C" w:rsidR="006E2F8F" w:rsidRPr="00A53EFB" w:rsidRDefault="006E2F8F" w:rsidP="002C3956">
      <w:pPr>
        <w:spacing w:before="0" w:after="0" w:line="360" w:lineRule="auto"/>
        <w:ind w:firstLine="0"/>
        <w:contextualSpacing/>
        <w:rPr>
          <w:sz w:val="22"/>
          <w:szCs w:val="22"/>
          <w:lang w:val="en-GB"/>
        </w:rPr>
      </w:pPr>
      <w:r w:rsidRPr="00A53EFB">
        <w:rPr>
          <w:sz w:val="22"/>
          <w:szCs w:val="22"/>
          <w:lang w:val="en-GB"/>
        </w:rPr>
        <w:t>High variability of geological and mining conditions as well as the necessity to relocate powered roof supports in the area of USCB are a premise for unifying the construction of supports (limitation of the number of varieties) and placing on the market only the ones that are prepared for operation in areas with mining tremor hazard.</w:t>
      </w:r>
    </w:p>
    <w:p w14:paraId="6321F1A4" w14:textId="4883B242" w:rsidR="00E51DB8" w:rsidRPr="00A53EFB" w:rsidRDefault="006E2F8F" w:rsidP="002C3956">
      <w:pPr>
        <w:spacing w:before="0" w:after="0" w:line="360" w:lineRule="auto"/>
        <w:ind w:firstLine="0"/>
        <w:contextualSpacing/>
        <w:rPr>
          <w:sz w:val="22"/>
          <w:szCs w:val="22"/>
          <w:lang w:val="en-GB"/>
        </w:rPr>
      </w:pPr>
      <w:r w:rsidRPr="00A53EFB">
        <w:rPr>
          <w:sz w:val="22"/>
          <w:szCs w:val="22"/>
          <w:lang w:val="en-GB"/>
        </w:rPr>
        <w:t>In this paper, a set of data resulting from research and development works commissioned to the Central Mining Institute by mines and manufacturers of roof supports is analysed statistically. The resulting collection contains data for the years 2016–2019, and will be regularly updated.</w:t>
      </w:r>
    </w:p>
    <w:p w14:paraId="7F5A5DC6" w14:textId="77777777" w:rsidR="00A31CF9" w:rsidRPr="00A53EFB" w:rsidRDefault="00A31CF9" w:rsidP="002C3956">
      <w:pPr>
        <w:spacing w:before="0" w:after="0" w:line="360" w:lineRule="auto"/>
        <w:ind w:firstLine="0"/>
        <w:contextualSpacing/>
        <w:rPr>
          <w:sz w:val="22"/>
          <w:szCs w:val="22"/>
          <w:lang w:val="en-GB"/>
        </w:rPr>
      </w:pPr>
    </w:p>
    <w:p w14:paraId="28400283" w14:textId="77777777" w:rsidR="001A091B" w:rsidRPr="00A53EFB" w:rsidRDefault="00E51DB8" w:rsidP="002C3956">
      <w:pPr>
        <w:spacing w:before="0" w:after="0" w:line="360" w:lineRule="auto"/>
        <w:ind w:firstLine="0"/>
        <w:contextualSpacing/>
        <w:rPr>
          <w:sz w:val="22"/>
          <w:szCs w:val="22"/>
          <w:lang w:val="en-GB"/>
        </w:rPr>
      </w:pPr>
      <w:r w:rsidRPr="00A53EFB">
        <w:rPr>
          <w:sz w:val="22"/>
          <w:szCs w:val="22"/>
          <w:lang w:val="en-GB"/>
        </w:rPr>
        <w:t>REFERENCES</w:t>
      </w:r>
    </w:p>
    <w:bookmarkEnd w:id="5"/>
    <w:p w14:paraId="0F546AA2" w14:textId="77777777" w:rsidR="00A31CF9" w:rsidRPr="00A53EFB" w:rsidRDefault="00A31CF9" w:rsidP="004430E5">
      <w:pPr>
        <w:pStyle w:val="Akapitzlist"/>
        <w:numPr>
          <w:ilvl w:val="0"/>
          <w:numId w:val="22"/>
        </w:numPr>
        <w:spacing w:before="0" w:after="0" w:line="360" w:lineRule="auto"/>
        <w:ind w:left="567" w:hanging="567"/>
        <w:jc w:val="left"/>
        <w:rPr>
          <w:sz w:val="22"/>
          <w:szCs w:val="22"/>
        </w:rPr>
      </w:pPr>
      <w:r w:rsidRPr="00A53EFB">
        <w:rPr>
          <w:i/>
          <w:sz w:val="22"/>
          <w:szCs w:val="22"/>
        </w:rPr>
        <w:t>Rozporządzenie Ministra Energii z dnia 23 listopada 2016 r.</w:t>
      </w:r>
      <w:r w:rsidRPr="00A53EFB">
        <w:rPr>
          <w:sz w:val="22"/>
          <w:szCs w:val="22"/>
        </w:rPr>
        <w:t>, Dz.U. nr 2017, poz. 1118, §523 ust. 1, pkt 1.</w:t>
      </w:r>
    </w:p>
    <w:p w14:paraId="348B6F4A" w14:textId="48FEDC07" w:rsidR="00A31CF9" w:rsidRPr="00A53EFB" w:rsidRDefault="00A31CF9" w:rsidP="004430E5">
      <w:pPr>
        <w:numPr>
          <w:ilvl w:val="0"/>
          <w:numId w:val="22"/>
        </w:numPr>
        <w:spacing w:before="0" w:after="0" w:line="360" w:lineRule="auto"/>
        <w:ind w:left="567" w:hanging="567"/>
        <w:contextualSpacing/>
        <w:rPr>
          <w:sz w:val="22"/>
          <w:szCs w:val="22"/>
        </w:rPr>
      </w:pPr>
      <w:r w:rsidRPr="00A53EFB">
        <w:rPr>
          <w:sz w:val="22"/>
          <w:szCs w:val="22"/>
        </w:rPr>
        <w:t xml:space="preserve">Rajwa S., Prusek S., Stoiński K.: </w:t>
      </w:r>
      <w:r w:rsidRPr="00A53EFB">
        <w:rPr>
          <w:i/>
          <w:sz w:val="22"/>
          <w:szCs w:val="22"/>
        </w:rPr>
        <w:t>Opis metody upodatnienia zmechanizowanej obudowy ścianowej</w:t>
      </w:r>
      <w:r w:rsidRPr="00A53EFB">
        <w:rPr>
          <w:sz w:val="22"/>
          <w:szCs w:val="22"/>
        </w:rPr>
        <w:t xml:space="preserve">, </w:t>
      </w:r>
      <w:r w:rsidR="00F47C42" w:rsidRPr="00A53EFB">
        <w:rPr>
          <w:sz w:val="22"/>
          <w:szCs w:val="22"/>
        </w:rPr>
        <w:t>“</w:t>
      </w:r>
      <w:r w:rsidRPr="00A53EFB">
        <w:rPr>
          <w:sz w:val="22"/>
          <w:szCs w:val="22"/>
        </w:rPr>
        <w:t>Bezpieczeństwo Pracy i Ochrona Środowiska w Górnictwie” 2016, 12: 3–8.</w:t>
      </w:r>
    </w:p>
    <w:p w14:paraId="64394AB0" w14:textId="152E6FAE" w:rsidR="00A31CF9" w:rsidRPr="00A53EFB" w:rsidRDefault="00A31CF9" w:rsidP="004430E5">
      <w:pPr>
        <w:numPr>
          <w:ilvl w:val="0"/>
          <w:numId w:val="22"/>
        </w:numPr>
        <w:spacing w:before="0" w:after="0" w:line="360" w:lineRule="auto"/>
        <w:ind w:left="567" w:hanging="567"/>
        <w:contextualSpacing/>
        <w:rPr>
          <w:sz w:val="22"/>
          <w:szCs w:val="22"/>
          <w:lang w:val="en-GB"/>
        </w:rPr>
      </w:pPr>
      <w:r w:rsidRPr="00A53EFB">
        <w:rPr>
          <w:sz w:val="22"/>
          <w:szCs w:val="22"/>
        </w:rPr>
        <w:t xml:space="preserve">Zonn W. </w:t>
      </w:r>
      <w:r w:rsidR="00F47C42" w:rsidRPr="00A53EFB">
        <w:rPr>
          <w:sz w:val="22"/>
          <w:szCs w:val="22"/>
        </w:rPr>
        <w:t>(</w:t>
      </w:r>
      <w:r w:rsidRPr="00A53EFB">
        <w:rPr>
          <w:sz w:val="22"/>
          <w:szCs w:val="22"/>
        </w:rPr>
        <w:t>red.</w:t>
      </w:r>
      <w:r w:rsidR="00F47C42" w:rsidRPr="00A53EFB">
        <w:rPr>
          <w:sz w:val="22"/>
          <w:szCs w:val="22"/>
        </w:rPr>
        <w:t>)</w:t>
      </w:r>
      <w:r w:rsidRPr="00A53EFB">
        <w:rPr>
          <w:sz w:val="22"/>
          <w:szCs w:val="22"/>
        </w:rPr>
        <w:t xml:space="preserve">: </w:t>
      </w:r>
      <w:r w:rsidRPr="00A53EFB">
        <w:rPr>
          <w:i/>
          <w:sz w:val="22"/>
          <w:szCs w:val="22"/>
        </w:rPr>
        <w:t>Kopernik, astronomia, astronautyka: przewodnik encyklopedyczny</w:t>
      </w:r>
      <w:r w:rsidRPr="00A53EFB">
        <w:rPr>
          <w:sz w:val="22"/>
          <w:szCs w:val="22"/>
        </w:rPr>
        <w:t xml:space="preserve">, </w:t>
      </w:r>
      <w:r w:rsidR="00F47C42" w:rsidRPr="00A53EFB">
        <w:rPr>
          <w:sz w:val="22"/>
          <w:szCs w:val="22"/>
          <w:lang w:val="en-GB"/>
        </w:rPr>
        <w:t>Państwowe Wydawnictwo Naukowe</w:t>
      </w:r>
      <w:r w:rsidRPr="00A53EFB">
        <w:rPr>
          <w:sz w:val="22"/>
          <w:szCs w:val="22"/>
          <w:lang w:val="en-GB"/>
        </w:rPr>
        <w:t>, Warszawa 1973.</w:t>
      </w:r>
    </w:p>
    <w:p w14:paraId="04F335DB" w14:textId="77777777" w:rsidR="00A31CF9" w:rsidRPr="00A53EFB" w:rsidRDefault="00A31CF9" w:rsidP="004430E5">
      <w:pPr>
        <w:numPr>
          <w:ilvl w:val="0"/>
          <w:numId w:val="22"/>
        </w:numPr>
        <w:spacing w:before="0" w:after="0" w:line="360" w:lineRule="auto"/>
        <w:ind w:left="567" w:hanging="567"/>
        <w:contextualSpacing/>
        <w:rPr>
          <w:sz w:val="22"/>
          <w:szCs w:val="22"/>
        </w:rPr>
      </w:pPr>
      <w:r w:rsidRPr="00A53EFB">
        <w:rPr>
          <w:sz w:val="22"/>
          <w:szCs w:val="22"/>
        </w:rPr>
        <w:t xml:space="preserve">Stoiński K. (red.): </w:t>
      </w:r>
      <w:r w:rsidRPr="00A53EFB">
        <w:rPr>
          <w:i/>
          <w:sz w:val="22"/>
          <w:szCs w:val="22"/>
        </w:rPr>
        <w:t>Zmechanizowane obudowy ścianowe dla warunków zagrożenia wstrząsami górotworu</w:t>
      </w:r>
      <w:r w:rsidRPr="00A53EFB">
        <w:rPr>
          <w:sz w:val="22"/>
          <w:szCs w:val="22"/>
        </w:rPr>
        <w:t>, Wydawnictwo GIG, Katowice 2018.</w:t>
      </w:r>
    </w:p>
    <w:p w14:paraId="0165C5F7" w14:textId="51E12FB3" w:rsidR="00A31CF9" w:rsidRPr="00A53EFB" w:rsidRDefault="00A31CF9" w:rsidP="004430E5">
      <w:pPr>
        <w:numPr>
          <w:ilvl w:val="0"/>
          <w:numId w:val="22"/>
        </w:numPr>
        <w:spacing w:before="0" w:after="0" w:line="360" w:lineRule="auto"/>
        <w:ind w:left="567" w:hanging="567"/>
        <w:contextualSpacing/>
        <w:rPr>
          <w:sz w:val="22"/>
          <w:szCs w:val="22"/>
        </w:rPr>
      </w:pPr>
      <w:r w:rsidRPr="00A53EFB">
        <w:rPr>
          <w:sz w:val="22"/>
          <w:szCs w:val="22"/>
        </w:rPr>
        <w:t xml:space="preserve">Rajwa S. et al.: </w:t>
      </w:r>
      <w:r w:rsidR="00F47C42" w:rsidRPr="00A53EFB">
        <w:rPr>
          <w:sz w:val="22"/>
          <w:szCs w:val="22"/>
        </w:rPr>
        <w:t xml:space="preserve">Statutory work </w:t>
      </w:r>
      <w:r w:rsidRPr="00A53EFB">
        <w:rPr>
          <w:sz w:val="22"/>
          <w:szCs w:val="22"/>
        </w:rPr>
        <w:t>GIG No. 12090577-152, 2007, GIG Katowice [</w:t>
      </w:r>
      <w:r w:rsidR="00F47C42" w:rsidRPr="00A53EFB">
        <w:rPr>
          <w:sz w:val="22"/>
          <w:szCs w:val="22"/>
        </w:rPr>
        <w:t>unpublished</w:t>
      </w:r>
      <w:r w:rsidRPr="00A53EFB">
        <w:rPr>
          <w:sz w:val="22"/>
          <w:szCs w:val="22"/>
        </w:rPr>
        <w:t>].</w:t>
      </w:r>
    </w:p>
    <w:p w14:paraId="38683912" w14:textId="77777777" w:rsidR="00A31CF9" w:rsidRPr="00A53EFB" w:rsidRDefault="00A31CF9" w:rsidP="004430E5">
      <w:pPr>
        <w:numPr>
          <w:ilvl w:val="0"/>
          <w:numId w:val="22"/>
        </w:numPr>
        <w:spacing w:before="0" w:after="0" w:line="360" w:lineRule="auto"/>
        <w:ind w:left="567" w:hanging="567"/>
        <w:contextualSpacing/>
        <w:rPr>
          <w:sz w:val="22"/>
          <w:szCs w:val="22"/>
          <w:lang w:val="en-GB"/>
        </w:rPr>
      </w:pPr>
      <w:r w:rsidRPr="00A53EFB">
        <w:rPr>
          <w:sz w:val="22"/>
          <w:szCs w:val="22"/>
          <w:lang w:val="en-GB"/>
        </w:rPr>
        <w:lastRenderedPageBreak/>
        <w:t xml:space="preserve">Prusek S., Rajwa S., Wrana A., Krzemień A.: </w:t>
      </w:r>
      <w:r w:rsidRPr="00A53EFB">
        <w:rPr>
          <w:i/>
          <w:sz w:val="22"/>
          <w:szCs w:val="22"/>
          <w:lang w:val="en-GB"/>
        </w:rPr>
        <w:t>Assessment of roof fall risk in longwall coal mines</w:t>
      </w:r>
      <w:r w:rsidRPr="00A53EFB">
        <w:rPr>
          <w:sz w:val="22"/>
          <w:szCs w:val="22"/>
          <w:lang w:val="en-GB"/>
        </w:rPr>
        <w:t>, “International Journal of Mining, Reclamation and Environment” 2016: 1–17.</w:t>
      </w:r>
    </w:p>
    <w:p w14:paraId="1162450E" w14:textId="77777777" w:rsidR="00A31CF9" w:rsidRPr="00A53EFB" w:rsidRDefault="00A31CF9" w:rsidP="004430E5">
      <w:pPr>
        <w:numPr>
          <w:ilvl w:val="0"/>
          <w:numId w:val="22"/>
        </w:numPr>
        <w:spacing w:before="0" w:after="0" w:line="360" w:lineRule="auto"/>
        <w:ind w:left="567" w:hanging="567"/>
        <w:contextualSpacing/>
        <w:rPr>
          <w:sz w:val="22"/>
          <w:szCs w:val="22"/>
          <w:lang w:val="en-GB"/>
        </w:rPr>
      </w:pPr>
      <w:r w:rsidRPr="00A53EFB">
        <w:rPr>
          <w:sz w:val="22"/>
          <w:szCs w:val="22"/>
          <w:lang w:val="en-GB"/>
        </w:rPr>
        <w:t xml:space="preserve">Prusek S., Rajwa S., Walentek A., Masny W.: </w:t>
      </w:r>
      <w:r w:rsidRPr="00A53EFB">
        <w:rPr>
          <w:i/>
          <w:sz w:val="22"/>
          <w:szCs w:val="22"/>
          <w:lang w:val="en-GB"/>
        </w:rPr>
        <w:t>Powered support selection for longwall workings in dynamic load conditions</w:t>
      </w:r>
      <w:r w:rsidRPr="00A53EFB">
        <w:rPr>
          <w:sz w:val="22"/>
          <w:szCs w:val="22"/>
          <w:lang w:val="en-GB"/>
        </w:rPr>
        <w:t>, “3rd International Symposium on Mine Safety Science and Engineering, Montreal” 2016: 13–19.</w:t>
      </w:r>
    </w:p>
    <w:p w14:paraId="01FFDD0B" w14:textId="1AA7D8BA" w:rsidR="00A31CF9" w:rsidRPr="00A53EFB" w:rsidRDefault="00A31CF9" w:rsidP="004430E5">
      <w:pPr>
        <w:numPr>
          <w:ilvl w:val="0"/>
          <w:numId w:val="22"/>
        </w:numPr>
        <w:spacing w:before="0" w:after="0" w:line="360" w:lineRule="auto"/>
        <w:ind w:left="567" w:hanging="567"/>
        <w:contextualSpacing/>
        <w:rPr>
          <w:sz w:val="22"/>
          <w:szCs w:val="22"/>
          <w:lang w:val="en-GB"/>
        </w:rPr>
      </w:pPr>
      <w:r w:rsidRPr="00A53EFB">
        <w:rPr>
          <w:sz w:val="22"/>
          <w:szCs w:val="22"/>
          <w:lang w:val="en-GB"/>
        </w:rPr>
        <w:t xml:space="preserve">Prusek S., Płonka M., Walentek A.: </w:t>
      </w:r>
      <w:r w:rsidRPr="00A53EFB">
        <w:rPr>
          <w:i/>
          <w:sz w:val="22"/>
          <w:szCs w:val="22"/>
          <w:lang w:val="en-GB"/>
        </w:rPr>
        <w:t>Applying the ground reaction curve concept to the assessment of shield support performance in longwall faces</w:t>
      </w:r>
      <w:r w:rsidRPr="00A53EFB">
        <w:rPr>
          <w:sz w:val="22"/>
          <w:szCs w:val="22"/>
          <w:lang w:val="en-GB"/>
        </w:rPr>
        <w:t xml:space="preserve">, </w:t>
      </w:r>
      <w:r w:rsidR="00F47C42" w:rsidRPr="00A53EFB">
        <w:rPr>
          <w:sz w:val="22"/>
          <w:szCs w:val="22"/>
          <w:lang w:val="en-GB"/>
        </w:rPr>
        <w:t>“</w:t>
      </w:r>
      <w:r w:rsidRPr="00A53EFB">
        <w:rPr>
          <w:sz w:val="22"/>
          <w:szCs w:val="22"/>
          <w:lang w:val="en-GB"/>
        </w:rPr>
        <w:t>Arabian Journal of Geosciences” 2016, 9, 3: 1–15.</w:t>
      </w:r>
    </w:p>
    <w:p w14:paraId="4FCF8FE4" w14:textId="77777777" w:rsidR="00A31CF9" w:rsidRPr="00A53EFB" w:rsidRDefault="00A31CF9" w:rsidP="004430E5">
      <w:pPr>
        <w:numPr>
          <w:ilvl w:val="0"/>
          <w:numId w:val="22"/>
        </w:numPr>
        <w:spacing w:before="0" w:after="0" w:line="360" w:lineRule="auto"/>
        <w:ind w:left="567" w:hanging="567"/>
        <w:contextualSpacing/>
        <w:rPr>
          <w:sz w:val="22"/>
          <w:szCs w:val="22"/>
          <w:lang w:val="en-GB"/>
        </w:rPr>
      </w:pPr>
      <w:r w:rsidRPr="00A53EFB">
        <w:rPr>
          <w:sz w:val="22"/>
          <w:szCs w:val="22"/>
          <w:lang w:val="en-GB"/>
        </w:rPr>
        <w:t xml:space="preserve">Rajwa S., Masny W., Wrana A.: </w:t>
      </w:r>
      <w:r w:rsidRPr="00A53EFB">
        <w:rPr>
          <w:i/>
          <w:sz w:val="22"/>
          <w:szCs w:val="22"/>
          <w:lang w:val="en-GB"/>
        </w:rPr>
        <w:t>A comprehensive method for the selection of powered roof support in conditions of the rockburst hazard</w:t>
      </w:r>
      <w:r w:rsidRPr="00A53EFB">
        <w:rPr>
          <w:sz w:val="22"/>
          <w:szCs w:val="22"/>
          <w:lang w:val="en-GB"/>
        </w:rPr>
        <w:t>, “Wiadomości Górnicze” 2017, 1: 2–7.</w:t>
      </w:r>
    </w:p>
    <w:p w14:paraId="68CFEDB4" w14:textId="0664A105" w:rsidR="00A31CF9" w:rsidRPr="00A53EFB" w:rsidRDefault="00A31CF9" w:rsidP="004430E5">
      <w:pPr>
        <w:numPr>
          <w:ilvl w:val="0"/>
          <w:numId w:val="22"/>
        </w:numPr>
        <w:spacing w:before="0" w:after="0" w:line="360" w:lineRule="auto"/>
        <w:ind w:left="567" w:hanging="567"/>
        <w:contextualSpacing/>
        <w:rPr>
          <w:sz w:val="22"/>
          <w:szCs w:val="22"/>
          <w:lang w:val="en-GB"/>
        </w:rPr>
      </w:pPr>
      <w:r w:rsidRPr="00A53EFB">
        <w:rPr>
          <w:sz w:val="22"/>
          <w:szCs w:val="22"/>
          <w:lang w:val="en-GB"/>
        </w:rPr>
        <w:t xml:space="preserve">Rajwa S., Janoszek T., Prusek S.: </w:t>
      </w:r>
      <w:r w:rsidRPr="00A53EFB">
        <w:rPr>
          <w:i/>
          <w:sz w:val="22"/>
          <w:szCs w:val="22"/>
          <w:lang w:val="en-GB"/>
        </w:rPr>
        <w:t>Influence of canopy ratio of powered roof support on longwall working stability – A case study</w:t>
      </w:r>
      <w:r w:rsidRPr="00A53EFB">
        <w:rPr>
          <w:sz w:val="22"/>
          <w:szCs w:val="22"/>
          <w:lang w:val="en-GB"/>
        </w:rPr>
        <w:t xml:space="preserve">, </w:t>
      </w:r>
      <w:r w:rsidR="00A53EFB" w:rsidRPr="00A53EFB">
        <w:rPr>
          <w:sz w:val="22"/>
          <w:szCs w:val="22"/>
          <w:lang w:val="en-GB"/>
        </w:rPr>
        <w:t>“</w:t>
      </w:r>
      <w:r w:rsidRPr="00A53EFB">
        <w:rPr>
          <w:sz w:val="22"/>
          <w:szCs w:val="22"/>
          <w:lang w:val="en-GB"/>
        </w:rPr>
        <w:t>International Journal of Mining Science and Technology” 2019, 29, 4: 591–598.</w:t>
      </w:r>
    </w:p>
    <w:p w14:paraId="0BDEF500" w14:textId="5F5EE2B9" w:rsidR="00A31CF9" w:rsidRPr="00A53EFB" w:rsidRDefault="00A31CF9" w:rsidP="004430E5">
      <w:pPr>
        <w:numPr>
          <w:ilvl w:val="0"/>
          <w:numId w:val="22"/>
        </w:numPr>
        <w:spacing w:before="0" w:after="0" w:line="360" w:lineRule="auto"/>
        <w:ind w:left="567" w:hanging="567"/>
        <w:contextualSpacing/>
        <w:rPr>
          <w:sz w:val="22"/>
          <w:szCs w:val="22"/>
        </w:rPr>
      </w:pPr>
      <w:r w:rsidRPr="00A53EFB">
        <w:rPr>
          <w:sz w:val="22"/>
          <w:szCs w:val="22"/>
        </w:rPr>
        <w:t xml:space="preserve">Biliński A., Kostyk T., Prusek S.: </w:t>
      </w:r>
      <w:r w:rsidRPr="00A53EFB">
        <w:rPr>
          <w:i/>
          <w:sz w:val="22"/>
          <w:szCs w:val="22"/>
        </w:rPr>
        <w:t>Zasady doboru obudowy zmechanizowanej dla wyrobisk ścianowych</w:t>
      </w:r>
      <w:r w:rsidRPr="00A53EFB">
        <w:rPr>
          <w:sz w:val="22"/>
          <w:szCs w:val="22"/>
        </w:rPr>
        <w:t xml:space="preserve">, </w:t>
      </w:r>
      <w:r w:rsidR="00A53EFB" w:rsidRPr="00A53EFB">
        <w:rPr>
          <w:sz w:val="22"/>
          <w:szCs w:val="22"/>
        </w:rPr>
        <w:t>“</w:t>
      </w:r>
      <w:r w:rsidRPr="00A53EFB">
        <w:rPr>
          <w:sz w:val="22"/>
          <w:szCs w:val="22"/>
        </w:rPr>
        <w:t>Bezpieczeństwo Pracy i Ochrona Środowiska w Górnictwie” 1997, 3: 14–17.</w:t>
      </w:r>
    </w:p>
    <w:p w14:paraId="0369B5FA" w14:textId="77777777" w:rsidR="00A31CF9" w:rsidRPr="00A53EFB" w:rsidRDefault="00A31CF9" w:rsidP="004430E5">
      <w:pPr>
        <w:numPr>
          <w:ilvl w:val="0"/>
          <w:numId w:val="22"/>
        </w:numPr>
        <w:spacing w:before="0" w:after="0" w:line="360" w:lineRule="auto"/>
        <w:ind w:left="567" w:hanging="567"/>
        <w:contextualSpacing/>
        <w:rPr>
          <w:sz w:val="22"/>
          <w:szCs w:val="22"/>
        </w:rPr>
      </w:pPr>
      <w:r w:rsidRPr="00A53EFB">
        <w:rPr>
          <w:sz w:val="22"/>
          <w:szCs w:val="22"/>
        </w:rPr>
        <w:t xml:space="preserve">Stoiński K.: </w:t>
      </w:r>
      <w:r w:rsidRPr="00A53EFB">
        <w:rPr>
          <w:i/>
          <w:sz w:val="22"/>
          <w:szCs w:val="22"/>
        </w:rPr>
        <w:t>Obudowy górnicze w warunkach zagrożenia wstrząsami górotworu</w:t>
      </w:r>
      <w:r w:rsidRPr="00A53EFB">
        <w:rPr>
          <w:sz w:val="22"/>
          <w:szCs w:val="22"/>
        </w:rPr>
        <w:t>, Wydawnictwo GIG, Katowice 2000.</w:t>
      </w:r>
    </w:p>
    <w:p w14:paraId="0976FB69" w14:textId="0E3ED145" w:rsidR="00A31CF9" w:rsidRPr="00A53EFB" w:rsidRDefault="00A31CF9" w:rsidP="004430E5">
      <w:pPr>
        <w:numPr>
          <w:ilvl w:val="0"/>
          <w:numId w:val="22"/>
        </w:numPr>
        <w:spacing w:before="0" w:after="0" w:line="360" w:lineRule="auto"/>
        <w:ind w:left="567" w:hanging="567"/>
        <w:contextualSpacing/>
        <w:rPr>
          <w:sz w:val="22"/>
          <w:szCs w:val="22"/>
        </w:rPr>
      </w:pPr>
      <w:r w:rsidRPr="00A53EFB">
        <w:rPr>
          <w:sz w:val="22"/>
          <w:szCs w:val="22"/>
        </w:rPr>
        <w:t xml:space="preserve">Prusek S., Rajwa S., Stoiński K.: </w:t>
      </w:r>
      <w:r w:rsidRPr="00A53EFB">
        <w:rPr>
          <w:i/>
          <w:sz w:val="22"/>
          <w:szCs w:val="22"/>
        </w:rPr>
        <w:t>Kriterien zur Abschatzung des Risikos von Strebschaden</w:t>
      </w:r>
      <w:r w:rsidRPr="00A53EFB">
        <w:rPr>
          <w:sz w:val="22"/>
          <w:szCs w:val="22"/>
        </w:rPr>
        <w:t xml:space="preserve">, </w:t>
      </w:r>
      <w:r w:rsidR="00A53EFB" w:rsidRPr="00A53EFB">
        <w:rPr>
          <w:sz w:val="22"/>
          <w:szCs w:val="22"/>
        </w:rPr>
        <w:t>“</w:t>
      </w:r>
      <w:r w:rsidRPr="00A53EFB">
        <w:rPr>
          <w:sz w:val="22"/>
          <w:szCs w:val="22"/>
        </w:rPr>
        <w:t>Glückauf-Forschungshefte” 2005, 11: 92–95.</w:t>
      </w:r>
    </w:p>
    <w:p w14:paraId="3497987A" w14:textId="602D780A" w:rsidR="00A31CF9" w:rsidRPr="00A53EFB" w:rsidRDefault="00A31CF9" w:rsidP="004430E5">
      <w:pPr>
        <w:numPr>
          <w:ilvl w:val="0"/>
          <w:numId w:val="22"/>
        </w:numPr>
        <w:spacing w:before="0" w:after="0" w:line="360" w:lineRule="auto"/>
        <w:ind w:left="567" w:hanging="567"/>
        <w:contextualSpacing/>
        <w:rPr>
          <w:sz w:val="22"/>
          <w:szCs w:val="22"/>
        </w:rPr>
      </w:pPr>
      <w:r w:rsidRPr="00A53EFB">
        <w:rPr>
          <w:sz w:val="22"/>
          <w:szCs w:val="22"/>
        </w:rPr>
        <w:t xml:space="preserve">Szurgacz D.: </w:t>
      </w:r>
      <w:r w:rsidRPr="00A53EFB">
        <w:rPr>
          <w:i/>
          <w:sz w:val="22"/>
          <w:szCs w:val="22"/>
        </w:rPr>
        <w:t>Próba określenia dynamicznej mocy stojaka zmechanizowanej obudowy ścianowej przeznaczonego do pracy w warunkach zagrożenia wstrząsami górotworu – artykuł dyskusyjny</w:t>
      </w:r>
      <w:r w:rsidRPr="00A53EFB">
        <w:rPr>
          <w:sz w:val="22"/>
          <w:szCs w:val="22"/>
        </w:rPr>
        <w:t xml:space="preserve">, </w:t>
      </w:r>
      <w:r w:rsidR="00A53EFB" w:rsidRPr="00A53EFB">
        <w:rPr>
          <w:sz w:val="22"/>
          <w:szCs w:val="22"/>
        </w:rPr>
        <w:t>“</w:t>
      </w:r>
      <w:r w:rsidRPr="00A53EFB">
        <w:rPr>
          <w:sz w:val="22"/>
          <w:szCs w:val="22"/>
        </w:rPr>
        <w:t>Prace Naukowe GIG” 2011, 10: 79–87.</w:t>
      </w:r>
    </w:p>
    <w:p w14:paraId="36C1560A" w14:textId="46F053CD" w:rsidR="00A31CF9" w:rsidRPr="00A53EFB" w:rsidRDefault="00A31CF9" w:rsidP="004430E5">
      <w:pPr>
        <w:numPr>
          <w:ilvl w:val="0"/>
          <w:numId w:val="22"/>
        </w:numPr>
        <w:spacing w:before="0" w:after="0" w:line="360" w:lineRule="auto"/>
        <w:ind w:left="567" w:hanging="567"/>
        <w:contextualSpacing/>
        <w:rPr>
          <w:sz w:val="22"/>
          <w:szCs w:val="22"/>
          <w:lang w:val="en-GB"/>
        </w:rPr>
      </w:pPr>
      <w:r w:rsidRPr="00A53EFB">
        <w:rPr>
          <w:sz w:val="22"/>
          <w:szCs w:val="22"/>
          <w:lang w:val="en-GB"/>
        </w:rPr>
        <w:lastRenderedPageBreak/>
        <w:t xml:space="preserve">Szurgacz D., Brodny J.: </w:t>
      </w:r>
      <w:r w:rsidRPr="00A53EFB">
        <w:rPr>
          <w:i/>
          <w:sz w:val="22"/>
          <w:szCs w:val="22"/>
          <w:lang w:val="en-GB"/>
        </w:rPr>
        <w:t>Research on the Effectiveness of the Actuating Element of the Electro Control System for the Powered Roof Support</w:t>
      </w:r>
      <w:r w:rsidRPr="00A53EFB">
        <w:rPr>
          <w:sz w:val="22"/>
          <w:szCs w:val="22"/>
          <w:lang w:val="en-GB"/>
        </w:rPr>
        <w:t xml:space="preserve">, </w:t>
      </w:r>
      <w:r w:rsidR="00A53EFB" w:rsidRPr="00A53EFB">
        <w:rPr>
          <w:sz w:val="22"/>
          <w:szCs w:val="22"/>
          <w:lang w:val="en-GB"/>
        </w:rPr>
        <w:t>“</w:t>
      </w:r>
      <w:r w:rsidRPr="00A53EFB">
        <w:rPr>
          <w:sz w:val="22"/>
          <w:szCs w:val="22"/>
          <w:lang w:val="en-GB"/>
        </w:rPr>
        <w:t>E3S Web of Conferences</w:t>
      </w:r>
      <w:r w:rsidR="00A53EFB" w:rsidRPr="00A53EFB">
        <w:rPr>
          <w:sz w:val="22"/>
          <w:szCs w:val="22"/>
          <w:lang w:val="en-GB"/>
        </w:rPr>
        <w:t>”</w:t>
      </w:r>
      <w:r w:rsidRPr="00A53EFB">
        <w:rPr>
          <w:sz w:val="22"/>
          <w:szCs w:val="22"/>
          <w:lang w:val="en-GB"/>
        </w:rPr>
        <w:t xml:space="preserve"> 2018, 41</w:t>
      </w:r>
      <w:r w:rsidR="00A53EFB" w:rsidRPr="00A53EFB">
        <w:rPr>
          <w:sz w:val="22"/>
          <w:szCs w:val="22"/>
          <w:lang w:val="en-GB"/>
        </w:rPr>
        <w:t>:</w:t>
      </w:r>
      <w:r w:rsidRPr="00A53EFB">
        <w:rPr>
          <w:sz w:val="22"/>
          <w:szCs w:val="22"/>
          <w:lang w:val="en-GB"/>
        </w:rPr>
        <w:t xml:space="preserve"> 03016.</w:t>
      </w:r>
    </w:p>
    <w:p w14:paraId="320E8FAE" w14:textId="7F51A688" w:rsidR="00A31CF9" w:rsidRPr="00A53EFB" w:rsidRDefault="00A31CF9" w:rsidP="004430E5">
      <w:pPr>
        <w:numPr>
          <w:ilvl w:val="0"/>
          <w:numId w:val="22"/>
        </w:numPr>
        <w:spacing w:before="0" w:after="0" w:line="360" w:lineRule="auto"/>
        <w:ind w:left="567" w:hanging="567"/>
        <w:contextualSpacing/>
        <w:rPr>
          <w:sz w:val="22"/>
          <w:szCs w:val="22"/>
        </w:rPr>
      </w:pPr>
      <w:r w:rsidRPr="00A53EFB">
        <w:rPr>
          <w:sz w:val="22"/>
          <w:szCs w:val="22"/>
        </w:rPr>
        <w:t xml:space="preserve">Jasiulek D., Bartoszek S., Lubryka J.: </w:t>
      </w:r>
      <w:r w:rsidRPr="00A53EFB">
        <w:rPr>
          <w:i/>
          <w:sz w:val="22"/>
          <w:szCs w:val="22"/>
        </w:rPr>
        <w:t>Efektywność wykorzystania i bezpieczeństwo techniczne górniczej obudowy zmechanizowanej – PRASS III</w:t>
      </w:r>
      <w:r w:rsidRPr="00A53EFB">
        <w:rPr>
          <w:sz w:val="22"/>
          <w:szCs w:val="22"/>
        </w:rPr>
        <w:t xml:space="preserve">, </w:t>
      </w:r>
      <w:r w:rsidR="00A53EFB" w:rsidRPr="00A53EFB">
        <w:rPr>
          <w:sz w:val="22"/>
          <w:szCs w:val="22"/>
        </w:rPr>
        <w:t>“</w:t>
      </w:r>
      <w:r w:rsidRPr="00A53EFB">
        <w:rPr>
          <w:sz w:val="22"/>
          <w:szCs w:val="22"/>
        </w:rPr>
        <w:t>Systemy Zasilania, Sterowania, Monitoringu i Diagnostyki” 2019, 1: 73–79.</w:t>
      </w:r>
    </w:p>
    <w:p w14:paraId="73AADC13" w14:textId="2EB04CD5" w:rsidR="00A31CF9" w:rsidRPr="00A53EFB" w:rsidRDefault="00A31CF9" w:rsidP="004430E5">
      <w:pPr>
        <w:numPr>
          <w:ilvl w:val="0"/>
          <w:numId w:val="22"/>
        </w:numPr>
        <w:spacing w:before="0" w:after="0" w:line="360" w:lineRule="auto"/>
        <w:ind w:left="567" w:hanging="567"/>
        <w:contextualSpacing/>
        <w:rPr>
          <w:sz w:val="22"/>
          <w:szCs w:val="22"/>
          <w:lang w:val="en-GB"/>
        </w:rPr>
      </w:pPr>
      <w:r w:rsidRPr="00A53EFB">
        <w:rPr>
          <w:sz w:val="22"/>
          <w:szCs w:val="22"/>
          <w:lang w:val="en-GB"/>
        </w:rPr>
        <w:t xml:space="preserve">Szurgacz D., Brodny J.: </w:t>
      </w:r>
      <w:r w:rsidRPr="00A53EFB">
        <w:rPr>
          <w:i/>
          <w:sz w:val="22"/>
          <w:szCs w:val="22"/>
          <w:lang w:val="en-GB"/>
        </w:rPr>
        <w:t>Innovative visualization system designed to monitor parameters of mining systems operation</w:t>
      </w:r>
      <w:r w:rsidRPr="00A53EFB">
        <w:rPr>
          <w:sz w:val="22"/>
          <w:szCs w:val="22"/>
          <w:lang w:val="en-GB"/>
        </w:rPr>
        <w:t xml:space="preserve">, </w:t>
      </w:r>
      <w:r w:rsidR="00A53EFB" w:rsidRPr="00A53EFB">
        <w:rPr>
          <w:sz w:val="22"/>
          <w:szCs w:val="22"/>
          <w:lang w:val="en-GB"/>
        </w:rPr>
        <w:t>“Multidisciplinary Aspects of Production Engineering”</w:t>
      </w:r>
      <w:r w:rsidRPr="00A53EFB">
        <w:rPr>
          <w:sz w:val="22"/>
          <w:szCs w:val="22"/>
          <w:lang w:val="en-GB"/>
        </w:rPr>
        <w:t xml:space="preserve"> 2018, 1, 1: 361–368.</w:t>
      </w:r>
    </w:p>
    <w:p w14:paraId="7CC9CB3F" w14:textId="02B8F92A" w:rsidR="00A31CF9" w:rsidRPr="00A53EFB" w:rsidRDefault="00A31CF9" w:rsidP="004430E5">
      <w:pPr>
        <w:numPr>
          <w:ilvl w:val="0"/>
          <w:numId w:val="22"/>
        </w:numPr>
        <w:spacing w:before="0" w:after="0" w:line="360" w:lineRule="auto"/>
        <w:ind w:left="567" w:hanging="567"/>
        <w:contextualSpacing/>
        <w:rPr>
          <w:sz w:val="22"/>
          <w:szCs w:val="22"/>
        </w:rPr>
      </w:pPr>
      <w:r w:rsidRPr="00A53EFB">
        <w:rPr>
          <w:sz w:val="22"/>
          <w:szCs w:val="22"/>
        </w:rPr>
        <w:t xml:space="preserve">Stoiński K., Prusek S., Rajwa S.: </w:t>
      </w:r>
      <w:r w:rsidRPr="00A53EFB">
        <w:rPr>
          <w:i/>
          <w:sz w:val="22"/>
          <w:szCs w:val="22"/>
        </w:rPr>
        <w:t>Dobór przepływów w układzie zabezpieczającym stojak zmechanizowanej obudowy ścianowej – opis przypadku</w:t>
      </w:r>
      <w:r w:rsidRPr="00A53EFB">
        <w:rPr>
          <w:sz w:val="22"/>
          <w:szCs w:val="22"/>
        </w:rPr>
        <w:t>, XXIII International Conference TEMAG, Gliwice 2015.</w:t>
      </w:r>
    </w:p>
    <w:p w14:paraId="648723F3" w14:textId="0D3B69C6" w:rsidR="00A31CF9" w:rsidRPr="00A53EFB" w:rsidRDefault="00A31CF9" w:rsidP="004430E5">
      <w:pPr>
        <w:numPr>
          <w:ilvl w:val="0"/>
          <w:numId w:val="22"/>
        </w:numPr>
        <w:spacing w:before="0" w:after="0" w:line="360" w:lineRule="auto"/>
        <w:ind w:left="567" w:hanging="567"/>
        <w:contextualSpacing/>
        <w:rPr>
          <w:sz w:val="22"/>
          <w:szCs w:val="22"/>
        </w:rPr>
      </w:pPr>
      <w:r w:rsidRPr="00A53EFB">
        <w:rPr>
          <w:sz w:val="22"/>
          <w:szCs w:val="22"/>
        </w:rPr>
        <w:t xml:space="preserve">Kabiesz J. et al.: </w:t>
      </w:r>
      <w:r w:rsidRPr="00A53EFB">
        <w:rPr>
          <w:i/>
          <w:sz w:val="22"/>
          <w:szCs w:val="22"/>
        </w:rPr>
        <w:t>Raport Roczny (2018) o stanie podstawowych zagrożeń naturalnych i technicznych w górnictwie węgla kamiennego</w:t>
      </w:r>
      <w:r w:rsidRPr="00A53EFB">
        <w:rPr>
          <w:sz w:val="22"/>
          <w:szCs w:val="22"/>
        </w:rPr>
        <w:t>, Wydawnictwo GIG, Katowice 2019.</w:t>
      </w:r>
    </w:p>
    <w:p w14:paraId="4FC61E63" w14:textId="08A35A46" w:rsidR="00A51A44" w:rsidRPr="00A53EFB" w:rsidRDefault="00A51A44" w:rsidP="002C3956">
      <w:pPr>
        <w:pStyle w:val="References"/>
        <w:numPr>
          <w:ilvl w:val="0"/>
          <w:numId w:val="0"/>
        </w:numPr>
        <w:spacing w:after="0" w:line="360" w:lineRule="auto"/>
        <w:ind w:left="720" w:hanging="360"/>
        <w:contextualSpacing/>
        <w:rPr>
          <w:sz w:val="22"/>
          <w:szCs w:val="22"/>
          <w:lang w:val="en-GB"/>
        </w:rPr>
      </w:pPr>
    </w:p>
    <w:p w14:paraId="24E3A199" w14:textId="4FD3BC8F" w:rsidR="00A31CF9" w:rsidRPr="00A53EFB" w:rsidRDefault="00A31CF9" w:rsidP="002C3956">
      <w:pPr>
        <w:pStyle w:val="MIAEEAuthor"/>
        <w:spacing w:line="360" w:lineRule="auto"/>
        <w:jc w:val="right"/>
        <w:rPr>
          <w:i w:val="0"/>
          <w:iCs w:val="0"/>
          <w:sz w:val="22"/>
          <w:szCs w:val="22"/>
        </w:rPr>
      </w:pPr>
      <w:commentRangeStart w:id="11"/>
      <w:r w:rsidRPr="00A53EFB">
        <w:rPr>
          <w:i w:val="0"/>
          <w:iCs w:val="0"/>
          <w:sz w:val="22"/>
          <w:szCs w:val="22"/>
        </w:rPr>
        <w:t>Jan Nowak, MSc., Eng.</w:t>
      </w:r>
    </w:p>
    <w:p w14:paraId="4BBB403A" w14:textId="1C223B58" w:rsidR="00A31CF9" w:rsidRPr="00A53EFB" w:rsidRDefault="00A31CF9" w:rsidP="002C3956">
      <w:pPr>
        <w:pStyle w:val="MIAEEAuthor"/>
        <w:spacing w:line="360" w:lineRule="auto"/>
        <w:jc w:val="right"/>
        <w:rPr>
          <w:i w:val="0"/>
          <w:iCs w:val="0"/>
          <w:sz w:val="22"/>
          <w:szCs w:val="22"/>
        </w:rPr>
      </w:pPr>
      <w:r w:rsidRPr="00A53EFB">
        <w:rPr>
          <w:i w:val="0"/>
          <w:iCs w:val="0"/>
          <w:sz w:val="22"/>
          <w:szCs w:val="22"/>
        </w:rPr>
        <w:t>AGH University of Science and Technology</w:t>
      </w:r>
    </w:p>
    <w:p w14:paraId="699BBC25" w14:textId="7890CF53" w:rsidR="00A31CF9" w:rsidRPr="00A53EFB" w:rsidRDefault="00A31CF9" w:rsidP="002C3956">
      <w:pPr>
        <w:pStyle w:val="MIAEEAuthor"/>
        <w:spacing w:line="360" w:lineRule="auto"/>
        <w:jc w:val="right"/>
        <w:rPr>
          <w:i w:val="0"/>
          <w:iCs w:val="0"/>
          <w:sz w:val="22"/>
          <w:szCs w:val="22"/>
          <w:lang w:val="pl-PL"/>
        </w:rPr>
      </w:pPr>
      <w:r w:rsidRPr="00A53EFB">
        <w:rPr>
          <w:i w:val="0"/>
          <w:iCs w:val="0"/>
          <w:sz w:val="22"/>
          <w:szCs w:val="22"/>
          <w:lang w:val="pl-PL"/>
        </w:rPr>
        <w:t>al. A. Mickiewicza 30, 30-059 Krakow, Poland</w:t>
      </w:r>
    </w:p>
    <w:p w14:paraId="168DD7CC" w14:textId="5CFB8702" w:rsidR="00A31CF9" w:rsidRPr="00A53EFB" w:rsidRDefault="00A31CF9" w:rsidP="002C3956">
      <w:pPr>
        <w:pStyle w:val="MIAEEAuthor"/>
        <w:spacing w:line="360" w:lineRule="auto"/>
        <w:jc w:val="right"/>
        <w:rPr>
          <w:i w:val="0"/>
          <w:iCs w:val="0"/>
          <w:sz w:val="22"/>
          <w:szCs w:val="22"/>
          <w:lang w:val="pl-PL"/>
        </w:rPr>
      </w:pPr>
      <w:r w:rsidRPr="00A53EFB">
        <w:rPr>
          <w:i w:val="0"/>
          <w:iCs w:val="0"/>
          <w:sz w:val="22"/>
          <w:szCs w:val="22"/>
          <w:lang w:val="pl-PL"/>
        </w:rPr>
        <w:t>j.nowak@agh.edu.pl</w:t>
      </w:r>
      <w:commentRangeEnd w:id="11"/>
      <w:r w:rsidRPr="00A53EFB">
        <w:rPr>
          <w:rStyle w:val="Odwoaniedokomentarza"/>
          <w:rFonts w:ascii="Times New Roman" w:eastAsia="Times New Roman" w:hAnsi="Times New Roman" w:cs="Times New Roman"/>
          <w:i w:val="0"/>
          <w:iCs w:val="0"/>
          <w:sz w:val="22"/>
          <w:szCs w:val="22"/>
          <w:lang w:val="pl-PL" w:eastAsia="pl-PL"/>
        </w:rPr>
        <w:commentReference w:id="11"/>
      </w:r>
    </w:p>
    <w:p w14:paraId="7DCAEC58" w14:textId="26AEDDF0" w:rsidR="00A31CF9" w:rsidRPr="00A53EFB" w:rsidRDefault="00A31CF9" w:rsidP="002C3956">
      <w:pPr>
        <w:pStyle w:val="References"/>
        <w:numPr>
          <w:ilvl w:val="0"/>
          <w:numId w:val="0"/>
        </w:numPr>
        <w:spacing w:after="0" w:line="360" w:lineRule="auto"/>
        <w:ind w:left="720" w:hanging="360"/>
        <w:contextualSpacing/>
        <w:rPr>
          <w:sz w:val="22"/>
          <w:szCs w:val="22"/>
          <w:lang w:val="en-GB"/>
        </w:rPr>
      </w:pPr>
    </w:p>
    <w:sectPr w:rsidR="00A31CF9" w:rsidRPr="00A53EFB" w:rsidSect="00F72FC1">
      <w:headerReference w:type="default" r:id="rId16"/>
      <w:footerReference w:type="even" r:id="rId17"/>
      <w:footerReference w:type="default" r:id="rId18"/>
      <w:headerReference w:type="first" r:id="rId19"/>
      <w:pgSz w:w="11907" w:h="16840" w:code="9"/>
      <w:pgMar w:top="2835" w:right="2268" w:bottom="3232" w:left="2268" w:header="2155" w:footer="709" w:gutter="0"/>
      <w:cols w:space="708"/>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JC" w:date="2020-12-15T13:36:00Z" w:initials="JC">
    <w:p w14:paraId="03E19C19" w14:textId="77777777" w:rsidR="000C0DDE" w:rsidRDefault="001B471D" w:rsidP="001B471D">
      <w:pPr>
        <w:pStyle w:val="Tekstkomentarza"/>
      </w:pPr>
      <w:r>
        <w:rPr>
          <w:rStyle w:val="Odwoaniedokomentarza"/>
        </w:rPr>
        <w:annotationRef/>
      </w:r>
      <w:r w:rsidR="000C0DDE" w:rsidRPr="000C0DDE">
        <w:t xml:space="preserve">Informacje na stronie tytułowej zgodnie z layoutem (próbka wzorcowa). </w:t>
      </w:r>
    </w:p>
    <w:p w14:paraId="4381C3B0" w14:textId="0FB3E840" w:rsidR="001B471D" w:rsidRDefault="001B471D" w:rsidP="001B471D">
      <w:pPr>
        <w:pStyle w:val="Tekstkomentarza"/>
      </w:pPr>
      <w:r>
        <w:t>W żywej paginie tytuł i numer czasopisma:</w:t>
      </w:r>
    </w:p>
    <w:p w14:paraId="142153F8" w14:textId="77777777" w:rsidR="001B471D" w:rsidRDefault="001B471D" w:rsidP="001B471D">
      <w:pPr>
        <w:pStyle w:val="Tekstkomentarza"/>
      </w:pPr>
      <w:r>
        <w:t>MINING – INFORMATICS, AUTOMATION AND ELECTRICAL ENGINEERING</w:t>
      </w:r>
    </w:p>
    <w:p w14:paraId="5D9F101B" w14:textId="286D6048" w:rsidR="001B471D" w:rsidRDefault="001B471D" w:rsidP="001B471D">
      <w:pPr>
        <w:pStyle w:val="Tekstkomentarza"/>
      </w:pPr>
      <w:r>
        <w:t>Vol. 1 (540) 202</w:t>
      </w:r>
      <w:r w:rsidR="006D473D">
        <w:t>2</w:t>
      </w:r>
    </w:p>
    <w:p w14:paraId="3A39D2CC" w14:textId="77777777" w:rsidR="001B471D" w:rsidRDefault="001B471D" w:rsidP="001B471D">
      <w:pPr>
        <w:pStyle w:val="Tekstkomentarza"/>
      </w:pPr>
      <w:r>
        <w:t>W prawym górnym rogu numer DOI:</w:t>
      </w:r>
    </w:p>
    <w:p w14:paraId="169AE917" w14:textId="07136607" w:rsidR="001B471D" w:rsidRDefault="001B471D" w:rsidP="001B471D">
      <w:pPr>
        <w:pStyle w:val="Tekstkomentarza"/>
      </w:pPr>
      <w:r>
        <w:t>http</w:t>
      </w:r>
      <w:r w:rsidR="006D473D">
        <w:t>s</w:t>
      </w:r>
      <w:r>
        <w:t>://doi.org/10.7494/miag.202</w:t>
      </w:r>
      <w:r w:rsidR="00C92697">
        <w:t>2</w:t>
      </w:r>
      <w:r>
        <w:t>.1.540.X</w:t>
      </w:r>
    </w:p>
  </w:comment>
  <w:comment w:id="1" w:author="JC" w:date="2020-12-15T12:47:00Z" w:initials="JC">
    <w:p w14:paraId="1579BB5C" w14:textId="370D0FED" w:rsidR="006E2F8F" w:rsidRDefault="006E2F8F" w:rsidP="006E2F8F">
      <w:pPr>
        <w:pStyle w:val="Tekstkomentarza"/>
        <w:ind w:firstLine="0"/>
      </w:pPr>
      <w:r>
        <w:rPr>
          <w:rStyle w:val="Odwoaniedokomentarza"/>
        </w:rPr>
        <w:annotationRef/>
      </w:r>
      <w:r>
        <w:t>abstract i key words</w:t>
      </w:r>
    </w:p>
  </w:comment>
  <w:comment w:id="4" w:author="JC" w:date="2020-12-15T13:09:00Z" w:initials="JC">
    <w:p w14:paraId="58975D8F" w14:textId="08666245" w:rsidR="002C3956" w:rsidRDefault="002C3956">
      <w:pPr>
        <w:pStyle w:val="Tekstkomentarza"/>
      </w:pPr>
      <w:r>
        <w:rPr>
          <w:rStyle w:val="Odwoaniedokomentarza"/>
        </w:rPr>
        <w:annotationRef/>
      </w:r>
      <w:r w:rsidR="001B471D">
        <w:t>Z</w:t>
      </w:r>
      <w:r>
        <w:t xml:space="preserve">mienne w tekście i we wzorach </w:t>
      </w:r>
      <w:r w:rsidR="001B471D">
        <w:t xml:space="preserve">proszę zapisywać </w:t>
      </w:r>
      <w:r>
        <w:t>kursyw</w:t>
      </w:r>
      <w:r w:rsidR="001B471D">
        <w:t>ą</w:t>
      </w:r>
      <w:r>
        <w:t>, z wyjątkiem liter greckich</w:t>
      </w:r>
      <w:r w:rsidR="001B471D">
        <w:t xml:space="preserve"> (prosto)</w:t>
      </w:r>
    </w:p>
  </w:comment>
  <w:comment w:id="6" w:author="JC" w:date="2020-12-15T12:53:00Z" w:initials="JC">
    <w:p w14:paraId="30939DBA" w14:textId="3BB8B6D1" w:rsidR="006E2F8F" w:rsidRDefault="006E2F8F">
      <w:pPr>
        <w:pStyle w:val="Tekstkomentarza"/>
      </w:pPr>
      <w:r>
        <w:rPr>
          <w:rStyle w:val="Odwoaniedokomentarza"/>
        </w:rPr>
        <w:annotationRef/>
      </w:r>
      <w:r w:rsidRPr="006E2F8F">
        <w:t>Na żółto podświetlono powołania na rysunki i tabele. Rysunki i tabele należy włamać możliwie jak najbliżej powołań na nie, tak, by nie dzieliły akapitów, zdań ani wyrazów.</w:t>
      </w:r>
    </w:p>
  </w:comment>
  <w:comment w:id="8" w:author="JC" w:date="2020-12-15T13:22:00Z" w:initials="JC">
    <w:p w14:paraId="2850D03E" w14:textId="31E4C493" w:rsidR="00485B37" w:rsidRDefault="00485B37">
      <w:pPr>
        <w:pStyle w:val="Tekstkomentarza"/>
      </w:pPr>
      <w:r>
        <w:rPr>
          <w:rStyle w:val="Odwoaniedokomentarza"/>
        </w:rPr>
        <w:annotationRef/>
      </w:r>
      <w:r>
        <w:t>W opisie pod wykresem proszę zmienić ntz na n</w:t>
      </w:r>
      <w:r w:rsidRPr="00485B37">
        <w:rPr>
          <w:vertAlign w:val="subscript"/>
        </w:rPr>
        <w:t>tz</w:t>
      </w:r>
    </w:p>
  </w:comment>
  <w:comment w:id="10" w:author="JC" w:date="2020-12-15T13:31:00Z" w:initials="JC">
    <w:p w14:paraId="37CDC6BA" w14:textId="771E3369" w:rsidR="004430E5" w:rsidRDefault="004430E5">
      <w:pPr>
        <w:pStyle w:val="Tekstkomentarza"/>
      </w:pPr>
      <w:r>
        <w:rPr>
          <w:rStyle w:val="Odwoaniedokomentarza"/>
        </w:rPr>
        <w:annotationRef/>
      </w:r>
      <w:r>
        <w:t xml:space="preserve">Proszę zmienić separatory dziesiętne z przecinków na kropki </w:t>
      </w:r>
    </w:p>
  </w:comment>
  <w:comment w:id="11" w:author="JC" w:date="2020-12-15T13:06:00Z" w:initials="JC">
    <w:p w14:paraId="684B65A0" w14:textId="0BFD304E" w:rsidR="00A31CF9" w:rsidRDefault="00A31CF9">
      <w:pPr>
        <w:pStyle w:val="Tekstkomentarza"/>
      </w:pPr>
      <w:r>
        <w:rPr>
          <w:rStyle w:val="Odwoaniedokomentarza"/>
        </w:rPr>
        <w:annotationRef/>
      </w:r>
      <w:r>
        <w:t>afiliacja</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169AE917" w15:done="0"/>
  <w15:commentEx w15:paraId="1579BB5C" w15:done="0"/>
  <w15:commentEx w15:paraId="58975D8F" w15:done="0"/>
  <w15:commentEx w15:paraId="30939DBA" w15:done="0"/>
  <w15:commentEx w15:paraId="2850D03E" w15:done="0"/>
  <w15:commentEx w15:paraId="37CDC6BA" w15:done="0"/>
  <w15:commentEx w15:paraId="684B65A0"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3833A62" w16cex:dateUtc="2020-12-15T12:36:00Z"/>
  <w16cex:commentExtensible w16cex:durableId="23832ED2" w16cex:dateUtc="2020-12-15T11:47:00Z"/>
  <w16cex:commentExtensible w16cex:durableId="238333F1" w16cex:dateUtc="2020-12-15T12:09:00Z"/>
  <w16cex:commentExtensible w16cex:durableId="23833032" w16cex:dateUtc="2020-12-15T11:53:00Z"/>
  <w16cex:commentExtensible w16cex:durableId="23833715" w16cex:dateUtc="2020-12-15T12:22:00Z"/>
  <w16cex:commentExtensible w16cex:durableId="2383391E" w16cex:dateUtc="2020-12-15T12:31:00Z"/>
  <w16cex:commentExtensible w16cex:durableId="23833360" w16cex:dateUtc="2020-12-15T12:0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169AE917" w16cid:durableId="23833A62"/>
  <w16cid:commentId w16cid:paraId="1579BB5C" w16cid:durableId="23832ED2"/>
  <w16cid:commentId w16cid:paraId="58975D8F" w16cid:durableId="238333F1"/>
  <w16cid:commentId w16cid:paraId="30939DBA" w16cid:durableId="23833032"/>
  <w16cid:commentId w16cid:paraId="2850D03E" w16cid:durableId="23833715"/>
  <w16cid:commentId w16cid:paraId="37CDC6BA" w16cid:durableId="2383391E"/>
  <w16cid:commentId w16cid:paraId="684B65A0" w16cid:durableId="23833360"/>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AF63B5" w14:textId="77777777" w:rsidR="00705BE7" w:rsidRDefault="00705BE7">
      <w:pPr>
        <w:spacing w:before="0" w:after="0" w:line="240" w:lineRule="auto"/>
      </w:pPr>
      <w:r>
        <w:separator/>
      </w:r>
    </w:p>
  </w:endnote>
  <w:endnote w:type="continuationSeparator" w:id="0">
    <w:p w14:paraId="09F8A79E" w14:textId="77777777" w:rsidR="00705BE7" w:rsidRDefault="00705BE7">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TimesNewRoman,Italic">
    <w:altName w:val="Times New Roman"/>
    <w:panose1 w:val="00000000000000000000"/>
    <w:charset w:val="00"/>
    <w:family w:val="roman"/>
    <w:notTrueType/>
    <w:pitch w:val="default"/>
    <w:sig w:usb0="00000007" w:usb1="00000000" w:usb2="00000000" w:usb3="00000000" w:csb0="00000003" w:csb1="00000000"/>
  </w:font>
  <w:font w:name="Cambria Math">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DF8F81" w14:textId="77777777" w:rsidR="007E2F2A" w:rsidRDefault="007E2F2A">
    <w:pPr>
      <w:pStyle w:val="Stopka"/>
      <w:ind w:right="360"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BBF69E" w14:textId="77777777" w:rsidR="007E2F2A" w:rsidRDefault="007E2F2A">
    <w:pPr>
      <w:pStyle w:val="Stopka"/>
      <w:ind w:right="360" w:firstLine="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82B5CE" w14:textId="77777777" w:rsidR="00705BE7" w:rsidRDefault="00705BE7">
      <w:pPr>
        <w:spacing w:before="0" w:after="0"/>
        <w:ind w:firstLine="0"/>
      </w:pPr>
      <w:r>
        <w:separator/>
      </w:r>
      <w:r>
        <w:separator/>
      </w:r>
    </w:p>
  </w:footnote>
  <w:footnote w:type="continuationSeparator" w:id="0">
    <w:p w14:paraId="28C98C43" w14:textId="77777777" w:rsidR="00705BE7" w:rsidRDefault="00705BE7">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42626A" w14:textId="77777777" w:rsidR="007E2F2A" w:rsidRDefault="007E2F2A">
    <w:pP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62BB32" w14:textId="77777777" w:rsidR="007E2F2A" w:rsidRDefault="007E2F2A">
    <w:pPr>
      <w:pStyle w:val="NoIndent"/>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532C6A"/>
    <w:multiLevelType w:val="hybridMultilevel"/>
    <w:tmpl w:val="5A6EB272"/>
    <w:lvl w:ilvl="0" w:tplc="0415000F">
      <w:start w:val="1"/>
      <w:numFmt w:val="decimal"/>
      <w:lvlText w:val="%1."/>
      <w:lvlJc w:val="left"/>
      <w:pPr>
        <w:tabs>
          <w:tab w:val="num" w:pos="1080"/>
        </w:tabs>
        <w:ind w:left="1080" w:hanging="360"/>
      </w:pPr>
    </w:lvl>
    <w:lvl w:ilvl="1" w:tplc="04150019" w:tentative="1">
      <w:start w:val="1"/>
      <w:numFmt w:val="lowerLetter"/>
      <w:lvlText w:val="%2."/>
      <w:lvlJc w:val="left"/>
      <w:pPr>
        <w:tabs>
          <w:tab w:val="num" w:pos="1800"/>
        </w:tabs>
        <w:ind w:left="1800" w:hanging="360"/>
      </w:pPr>
    </w:lvl>
    <w:lvl w:ilvl="2" w:tplc="0415001B" w:tentative="1">
      <w:start w:val="1"/>
      <w:numFmt w:val="lowerRoman"/>
      <w:lvlText w:val="%3."/>
      <w:lvlJc w:val="right"/>
      <w:pPr>
        <w:tabs>
          <w:tab w:val="num" w:pos="2520"/>
        </w:tabs>
        <w:ind w:left="2520" w:hanging="180"/>
      </w:pPr>
    </w:lvl>
    <w:lvl w:ilvl="3" w:tplc="0415000F" w:tentative="1">
      <w:start w:val="1"/>
      <w:numFmt w:val="decimal"/>
      <w:lvlText w:val="%4."/>
      <w:lvlJc w:val="left"/>
      <w:pPr>
        <w:tabs>
          <w:tab w:val="num" w:pos="3240"/>
        </w:tabs>
        <w:ind w:left="3240" w:hanging="360"/>
      </w:pPr>
    </w:lvl>
    <w:lvl w:ilvl="4" w:tplc="04150019" w:tentative="1">
      <w:start w:val="1"/>
      <w:numFmt w:val="lowerLetter"/>
      <w:lvlText w:val="%5."/>
      <w:lvlJc w:val="left"/>
      <w:pPr>
        <w:tabs>
          <w:tab w:val="num" w:pos="3960"/>
        </w:tabs>
        <w:ind w:left="3960" w:hanging="360"/>
      </w:pPr>
    </w:lvl>
    <w:lvl w:ilvl="5" w:tplc="0415001B" w:tentative="1">
      <w:start w:val="1"/>
      <w:numFmt w:val="lowerRoman"/>
      <w:lvlText w:val="%6."/>
      <w:lvlJc w:val="right"/>
      <w:pPr>
        <w:tabs>
          <w:tab w:val="num" w:pos="4680"/>
        </w:tabs>
        <w:ind w:left="4680" w:hanging="180"/>
      </w:pPr>
    </w:lvl>
    <w:lvl w:ilvl="6" w:tplc="0415000F" w:tentative="1">
      <w:start w:val="1"/>
      <w:numFmt w:val="decimal"/>
      <w:lvlText w:val="%7."/>
      <w:lvlJc w:val="left"/>
      <w:pPr>
        <w:tabs>
          <w:tab w:val="num" w:pos="5400"/>
        </w:tabs>
        <w:ind w:left="5400" w:hanging="360"/>
      </w:pPr>
    </w:lvl>
    <w:lvl w:ilvl="7" w:tplc="04150019" w:tentative="1">
      <w:start w:val="1"/>
      <w:numFmt w:val="lowerLetter"/>
      <w:lvlText w:val="%8."/>
      <w:lvlJc w:val="left"/>
      <w:pPr>
        <w:tabs>
          <w:tab w:val="num" w:pos="6120"/>
        </w:tabs>
        <w:ind w:left="6120" w:hanging="360"/>
      </w:pPr>
    </w:lvl>
    <w:lvl w:ilvl="8" w:tplc="0415001B" w:tentative="1">
      <w:start w:val="1"/>
      <w:numFmt w:val="lowerRoman"/>
      <w:lvlText w:val="%9."/>
      <w:lvlJc w:val="right"/>
      <w:pPr>
        <w:tabs>
          <w:tab w:val="num" w:pos="6840"/>
        </w:tabs>
        <w:ind w:left="6840" w:hanging="180"/>
      </w:pPr>
    </w:lvl>
  </w:abstractNum>
  <w:abstractNum w:abstractNumId="1" w15:restartNumberingAfterBreak="0">
    <w:nsid w:val="101D4C4B"/>
    <w:multiLevelType w:val="hybridMultilevel"/>
    <w:tmpl w:val="454CBFB4"/>
    <w:lvl w:ilvl="0" w:tplc="6FF8EF3E">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C077517"/>
    <w:multiLevelType w:val="hybridMultilevel"/>
    <w:tmpl w:val="8CFC40B8"/>
    <w:lvl w:ilvl="0" w:tplc="0415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26362BB6"/>
    <w:multiLevelType w:val="multilevel"/>
    <w:tmpl w:val="498251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D246E32"/>
    <w:multiLevelType w:val="hybridMultilevel"/>
    <w:tmpl w:val="F0DA61F2"/>
    <w:lvl w:ilvl="0" w:tplc="B3D2EC62">
      <w:start w:val="1"/>
      <w:numFmt w:val="lowerLetter"/>
      <w:lvlText w:val="%1)"/>
      <w:lvlJc w:val="left"/>
      <w:pPr>
        <w:ind w:left="1551" w:hanging="360"/>
      </w:pPr>
      <w:rPr>
        <w:rFonts w:hint="default"/>
      </w:rPr>
    </w:lvl>
    <w:lvl w:ilvl="1" w:tplc="04150019" w:tentative="1">
      <w:start w:val="1"/>
      <w:numFmt w:val="lowerLetter"/>
      <w:lvlText w:val="%2."/>
      <w:lvlJc w:val="left"/>
      <w:pPr>
        <w:ind w:left="2271" w:hanging="360"/>
      </w:pPr>
    </w:lvl>
    <w:lvl w:ilvl="2" w:tplc="0415001B" w:tentative="1">
      <w:start w:val="1"/>
      <w:numFmt w:val="lowerRoman"/>
      <w:lvlText w:val="%3."/>
      <w:lvlJc w:val="right"/>
      <w:pPr>
        <w:ind w:left="2991" w:hanging="180"/>
      </w:pPr>
    </w:lvl>
    <w:lvl w:ilvl="3" w:tplc="0415000F" w:tentative="1">
      <w:start w:val="1"/>
      <w:numFmt w:val="decimal"/>
      <w:lvlText w:val="%4."/>
      <w:lvlJc w:val="left"/>
      <w:pPr>
        <w:ind w:left="3711" w:hanging="360"/>
      </w:pPr>
    </w:lvl>
    <w:lvl w:ilvl="4" w:tplc="04150019" w:tentative="1">
      <w:start w:val="1"/>
      <w:numFmt w:val="lowerLetter"/>
      <w:lvlText w:val="%5."/>
      <w:lvlJc w:val="left"/>
      <w:pPr>
        <w:ind w:left="4431" w:hanging="360"/>
      </w:pPr>
    </w:lvl>
    <w:lvl w:ilvl="5" w:tplc="0415001B" w:tentative="1">
      <w:start w:val="1"/>
      <w:numFmt w:val="lowerRoman"/>
      <w:lvlText w:val="%6."/>
      <w:lvlJc w:val="right"/>
      <w:pPr>
        <w:ind w:left="5151" w:hanging="180"/>
      </w:pPr>
    </w:lvl>
    <w:lvl w:ilvl="6" w:tplc="0415000F" w:tentative="1">
      <w:start w:val="1"/>
      <w:numFmt w:val="decimal"/>
      <w:lvlText w:val="%7."/>
      <w:lvlJc w:val="left"/>
      <w:pPr>
        <w:ind w:left="5871" w:hanging="360"/>
      </w:pPr>
    </w:lvl>
    <w:lvl w:ilvl="7" w:tplc="04150019" w:tentative="1">
      <w:start w:val="1"/>
      <w:numFmt w:val="lowerLetter"/>
      <w:lvlText w:val="%8."/>
      <w:lvlJc w:val="left"/>
      <w:pPr>
        <w:ind w:left="6591" w:hanging="360"/>
      </w:pPr>
    </w:lvl>
    <w:lvl w:ilvl="8" w:tplc="0415001B" w:tentative="1">
      <w:start w:val="1"/>
      <w:numFmt w:val="lowerRoman"/>
      <w:lvlText w:val="%9."/>
      <w:lvlJc w:val="right"/>
      <w:pPr>
        <w:ind w:left="7311" w:hanging="180"/>
      </w:pPr>
    </w:lvl>
  </w:abstractNum>
  <w:abstractNum w:abstractNumId="5" w15:restartNumberingAfterBreak="0">
    <w:nsid w:val="380F5F28"/>
    <w:multiLevelType w:val="hybridMultilevel"/>
    <w:tmpl w:val="1FF20458"/>
    <w:lvl w:ilvl="0" w:tplc="C2666150">
      <w:start w:val="1"/>
      <w:numFmt w:val="decimal"/>
      <w:lvlText w:val="%1."/>
      <w:lvlJc w:val="left"/>
      <w:pPr>
        <w:tabs>
          <w:tab w:val="num" w:pos="757"/>
        </w:tabs>
        <w:ind w:left="757" w:hanging="360"/>
      </w:pPr>
      <w:rPr>
        <w:rFonts w:hint="default"/>
      </w:rPr>
    </w:lvl>
    <w:lvl w:ilvl="1" w:tplc="92880A9E" w:tentative="1">
      <w:start w:val="1"/>
      <w:numFmt w:val="lowerLetter"/>
      <w:lvlText w:val="%2."/>
      <w:lvlJc w:val="left"/>
      <w:pPr>
        <w:tabs>
          <w:tab w:val="num" w:pos="1477"/>
        </w:tabs>
        <w:ind w:left="1477" w:hanging="360"/>
      </w:pPr>
    </w:lvl>
    <w:lvl w:ilvl="2" w:tplc="BCBAB47A" w:tentative="1">
      <w:start w:val="1"/>
      <w:numFmt w:val="lowerRoman"/>
      <w:lvlText w:val="%3."/>
      <w:lvlJc w:val="right"/>
      <w:pPr>
        <w:tabs>
          <w:tab w:val="num" w:pos="2197"/>
        </w:tabs>
        <w:ind w:left="2197" w:hanging="180"/>
      </w:pPr>
    </w:lvl>
    <w:lvl w:ilvl="3" w:tplc="5A6A1E2A" w:tentative="1">
      <w:start w:val="1"/>
      <w:numFmt w:val="decimal"/>
      <w:lvlText w:val="%4."/>
      <w:lvlJc w:val="left"/>
      <w:pPr>
        <w:tabs>
          <w:tab w:val="num" w:pos="2917"/>
        </w:tabs>
        <w:ind w:left="2917" w:hanging="360"/>
      </w:pPr>
    </w:lvl>
    <w:lvl w:ilvl="4" w:tplc="A46EB6C2" w:tentative="1">
      <w:start w:val="1"/>
      <w:numFmt w:val="lowerLetter"/>
      <w:lvlText w:val="%5."/>
      <w:lvlJc w:val="left"/>
      <w:pPr>
        <w:tabs>
          <w:tab w:val="num" w:pos="3637"/>
        </w:tabs>
        <w:ind w:left="3637" w:hanging="360"/>
      </w:pPr>
    </w:lvl>
    <w:lvl w:ilvl="5" w:tplc="CDEEBDB4" w:tentative="1">
      <w:start w:val="1"/>
      <w:numFmt w:val="lowerRoman"/>
      <w:lvlText w:val="%6."/>
      <w:lvlJc w:val="right"/>
      <w:pPr>
        <w:tabs>
          <w:tab w:val="num" w:pos="4357"/>
        </w:tabs>
        <w:ind w:left="4357" w:hanging="180"/>
      </w:pPr>
    </w:lvl>
    <w:lvl w:ilvl="6" w:tplc="3BB04434" w:tentative="1">
      <w:start w:val="1"/>
      <w:numFmt w:val="decimal"/>
      <w:lvlText w:val="%7."/>
      <w:lvlJc w:val="left"/>
      <w:pPr>
        <w:tabs>
          <w:tab w:val="num" w:pos="5077"/>
        </w:tabs>
        <w:ind w:left="5077" w:hanging="360"/>
      </w:pPr>
    </w:lvl>
    <w:lvl w:ilvl="7" w:tplc="09B6109C" w:tentative="1">
      <w:start w:val="1"/>
      <w:numFmt w:val="lowerLetter"/>
      <w:lvlText w:val="%8."/>
      <w:lvlJc w:val="left"/>
      <w:pPr>
        <w:tabs>
          <w:tab w:val="num" w:pos="5797"/>
        </w:tabs>
        <w:ind w:left="5797" w:hanging="360"/>
      </w:pPr>
    </w:lvl>
    <w:lvl w:ilvl="8" w:tplc="A0F8F270" w:tentative="1">
      <w:start w:val="1"/>
      <w:numFmt w:val="lowerRoman"/>
      <w:lvlText w:val="%9."/>
      <w:lvlJc w:val="right"/>
      <w:pPr>
        <w:tabs>
          <w:tab w:val="num" w:pos="6517"/>
        </w:tabs>
        <w:ind w:left="6517" w:hanging="180"/>
      </w:pPr>
    </w:lvl>
  </w:abstractNum>
  <w:abstractNum w:abstractNumId="6" w15:restartNumberingAfterBreak="0">
    <w:nsid w:val="393B461E"/>
    <w:multiLevelType w:val="hybridMultilevel"/>
    <w:tmpl w:val="70D03C0A"/>
    <w:lvl w:ilvl="0" w:tplc="798C8052">
      <w:start w:val="1"/>
      <w:numFmt w:val="decimal"/>
      <w:pStyle w:val="References"/>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3F0B5C98"/>
    <w:multiLevelType w:val="multilevel"/>
    <w:tmpl w:val="9168C104"/>
    <w:lvl w:ilvl="0">
      <w:start w:val="3"/>
      <w:numFmt w:val="bullet"/>
      <w:pStyle w:val="BulletedList"/>
      <w:lvlText w:val=""/>
      <w:lvlJc w:val="left"/>
      <w:pPr>
        <w:tabs>
          <w:tab w:val="num" w:pos="439"/>
        </w:tabs>
        <w:ind w:left="397" w:hanging="318"/>
      </w:pPr>
      <w:rPr>
        <w:rFonts w:ascii="Symbol" w:hAnsi="Symbol" w:hint="default"/>
      </w:rPr>
    </w:lvl>
    <w:lvl w:ilvl="1">
      <w:numFmt w:val="bullet"/>
      <w:lvlText w:val="—"/>
      <w:lvlJc w:val="left"/>
      <w:pPr>
        <w:tabs>
          <w:tab w:val="num" w:pos="1440"/>
        </w:tabs>
        <w:ind w:left="1440" w:hanging="360"/>
      </w:pPr>
      <w:rPr>
        <w:rFonts w:ascii="Times New Roman" w:eastAsia="Times New Roman" w:hAnsi="Times New Roman"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425744E1"/>
    <w:multiLevelType w:val="hybridMultilevel"/>
    <w:tmpl w:val="74C40A0A"/>
    <w:lvl w:ilvl="0" w:tplc="F3164E12">
      <w:start w:val="1"/>
      <w:numFmt w:val="decimal"/>
      <w:lvlText w:val="%1."/>
      <w:lvlJc w:val="left"/>
      <w:pPr>
        <w:ind w:left="111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88C59F6"/>
    <w:multiLevelType w:val="hybridMultilevel"/>
    <w:tmpl w:val="D7C8CA28"/>
    <w:lvl w:ilvl="0" w:tplc="8A88053A">
      <w:start w:val="1"/>
      <w:numFmt w:val="bullet"/>
      <w:lvlText w:val="—"/>
      <w:lvlJc w:val="left"/>
      <w:pPr>
        <w:tabs>
          <w:tab w:val="num" w:pos="1177"/>
        </w:tabs>
        <w:ind w:left="1177" w:hanging="780"/>
      </w:pPr>
      <w:rPr>
        <w:rFonts w:ascii="Times New Roman" w:eastAsia="Times New Roman" w:hAnsi="Times New Roman" w:cs="Times New Roman" w:hint="default"/>
      </w:rPr>
    </w:lvl>
    <w:lvl w:ilvl="1" w:tplc="BD54E108" w:tentative="1">
      <w:start w:val="1"/>
      <w:numFmt w:val="bullet"/>
      <w:lvlText w:val="o"/>
      <w:lvlJc w:val="left"/>
      <w:pPr>
        <w:tabs>
          <w:tab w:val="num" w:pos="1477"/>
        </w:tabs>
        <w:ind w:left="1477" w:hanging="360"/>
      </w:pPr>
      <w:rPr>
        <w:rFonts w:ascii="Courier New" w:hAnsi="Courier New" w:hint="default"/>
      </w:rPr>
    </w:lvl>
    <w:lvl w:ilvl="2" w:tplc="6C2A29E6" w:tentative="1">
      <w:start w:val="1"/>
      <w:numFmt w:val="bullet"/>
      <w:lvlText w:val=""/>
      <w:lvlJc w:val="left"/>
      <w:pPr>
        <w:tabs>
          <w:tab w:val="num" w:pos="2197"/>
        </w:tabs>
        <w:ind w:left="2197" w:hanging="360"/>
      </w:pPr>
      <w:rPr>
        <w:rFonts w:ascii="Wingdings" w:hAnsi="Wingdings" w:hint="default"/>
      </w:rPr>
    </w:lvl>
    <w:lvl w:ilvl="3" w:tplc="DE1A2DEC" w:tentative="1">
      <w:start w:val="1"/>
      <w:numFmt w:val="bullet"/>
      <w:lvlText w:val=""/>
      <w:lvlJc w:val="left"/>
      <w:pPr>
        <w:tabs>
          <w:tab w:val="num" w:pos="2917"/>
        </w:tabs>
        <w:ind w:left="2917" w:hanging="360"/>
      </w:pPr>
      <w:rPr>
        <w:rFonts w:ascii="Symbol" w:hAnsi="Symbol" w:hint="default"/>
      </w:rPr>
    </w:lvl>
    <w:lvl w:ilvl="4" w:tplc="1BDE9A26" w:tentative="1">
      <w:start w:val="1"/>
      <w:numFmt w:val="bullet"/>
      <w:lvlText w:val="o"/>
      <w:lvlJc w:val="left"/>
      <w:pPr>
        <w:tabs>
          <w:tab w:val="num" w:pos="3637"/>
        </w:tabs>
        <w:ind w:left="3637" w:hanging="360"/>
      </w:pPr>
      <w:rPr>
        <w:rFonts w:ascii="Courier New" w:hAnsi="Courier New" w:hint="default"/>
      </w:rPr>
    </w:lvl>
    <w:lvl w:ilvl="5" w:tplc="3E967086" w:tentative="1">
      <w:start w:val="1"/>
      <w:numFmt w:val="bullet"/>
      <w:lvlText w:val=""/>
      <w:lvlJc w:val="left"/>
      <w:pPr>
        <w:tabs>
          <w:tab w:val="num" w:pos="4357"/>
        </w:tabs>
        <w:ind w:left="4357" w:hanging="360"/>
      </w:pPr>
      <w:rPr>
        <w:rFonts w:ascii="Wingdings" w:hAnsi="Wingdings" w:hint="default"/>
      </w:rPr>
    </w:lvl>
    <w:lvl w:ilvl="6" w:tplc="539E42D2" w:tentative="1">
      <w:start w:val="1"/>
      <w:numFmt w:val="bullet"/>
      <w:lvlText w:val=""/>
      <w:lvlJc w:val="left"/>
      <w:pPr>
        <w:tabs>
          <w:tab w:val="num" w:pos="5077"/>
        </w:tabs>
        <w:ind w:left="5077" w:hanging="360"/>
      </w:pPr>
      <w:rPr>
        <w:rFonts w:ascii="Symbol" w:hAnsi="Symbol" w:hint="default"/>
      </w:rPr>
    </w:lvl>
    <w:lvl w:ilvl="7" w:tplc="D2D24B7A" w:tentative="1">
      <w:start w:val="1"/>
      <w:numFmt w:val="bullet"/>
      <w:lvlText w:val="o"/>
      <w:lvlJc w:val="left"/>
      <w:pPr>
        <w:tabs>
          <w:tab w:val="num" w:pos="5797"/>
        </w:tabs>
        <w:ind w:left="5797" w:hanging="360"/>
      </w:pPr>
      <w:rPr>
        <w:rFonts w:ascii="Courier New" w:hAnsi="Courier New" w:hint="default"/>
      </w:rPr>
    </w:lvl>
    <w:lvl w:ilvl="8" w:tplc="12D266EC" w:tentative="1">
      <w:start w:val="1"/>
      <w:numFmt w:val="bullet"/>
      <w:lvlText w:val=""/>
      <w:lvlJc w:val="left"/>
      <w:pPr>
        <w:tabs>
          <w:tab w:val="num" w:pos="6517"/>
        </w:tabs>
        <w:ind w:left="6517" w:hanging="360"/>
      </w:pPr>
      <w:rPr>
        <w:rFonts w:ascii="Wingdings" w:hAnsi="Wingdings" w:hint="default"/>
      </w:rPr>
    </w:lvl>
  </w:abstractNum>
  <w:abstractNum w:abstractNumId="10" w15:restartNumberingAfterBreak="0">
    <w:nsid w:val="4F31618C"/>
    <w:multiLevelType w:val="multilevel"/>
    <w:tmpl w:val="1E48F8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41F03B2"/>
    <w:multiLevelType w:val="multilevel"/>
    <w:tmpl w:val="F43AD8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6C92AE1"/>
    <w:multiLevelType w:val="hybridMultilevel"/>
    <w:tmpl w:val="7A5E0004"/>
    <w:lvl w:ilvl="0" w:tplc="08090001">
      <w:start w:val="1"/>
      <w:numFmt w:val="bullet"/>
      <w:lvlText w:val=""/>
      <w:lvlJc w:val="left"/>
      <w:pPr>
        <w:ind w:left="1117" w:hanging="360"/>
      </w:pPr>
      <w:rPr>
        <w:rFonts w:ascii="Symbol" w:hAnsi="Symbol" w:hint="default"/>
      </w:rPr>
    </w:lvl>
    <w:lvl w:ilvl="1" w:tplc="08090003" w:tentative="1">
      <w:start w:val="1"/>
      <w:numFmt w:val="bullet"/>
      <w:lvlText w:val="o"/>
      <w:lvlJc w:val="left"/>
      <w:pPr>
        <w:ind w:left="1837" w:hanging="360"/>
      </w:pPr>
      <w:rPr>
        <w:rFonts w:ascii="Courier New" w:hAnsi="Courier New" w:cs="Courier New" w:hint="default"/>
      </w:rPr>
    </w:lvl>
    <w:lvl w:ilvl="2" w:tplc="08090005" w:tentative="1">
      <w:start w:val="1"/>
      <w:numFmt w:val="bullet"/>
      <w:lvlText w:val=""/>
      <w:lvlJc w:val="left"/>
      <w:pPr>
        <w:ind w:left="2557" w:hanging="360"/>
      </w:pPr>
      <w:rPr>
        <w:rFonts w:ascii="Wingdings" w:hAnsi="Wingdings" w:hint="default"/>
      </w:rPr>
    </w:lvl>
    <w:lvl w:ilvl="3" w:tplc="08090001" w:tentative="1">
      <w:start w:val="1"/>
      <w:numFmt w:val="bullet"/>
      <w:lvlText w:val=""/>
      <w:lvlJc w:val="left"/>
      <w:pPr>
        <w:ind w:left="3277" w:hanging="360"/>
      </w:pPr>
      <w:rPr>
        <w:rFonts w:ascii="Symbol" w:hAnsi="Symbol" w:hint="default"/>
      </w:rPr>
    </w:lvl>
    <w:lvl w:ilvl="4" w:tplc="08090003" w:tentative="1">
      <w:start w:val="1"/>
      <w:numFmt w:val="bullet"/>
      <w:lvlText w:val="o"/>
      <w:lvlJc w:val="left"/>
      <w:pPr>
        <w:ind w:left="3997" w:hanging="360"/>
      </w:pPr>
      <w:rPr>
        <w:rFonts w:ascii="Courier New" w:hAnsi="Courier New" w:cs="Courier New" w:hint="default"/>
      </w:rPr>
    </w:lvl>
    <w:lvl w:ilvl="5" w:tplc="08090005" w:tentative="1">
      <w:start w:val="1"/>
      <w:numFmt w:val="bullet"/>
      <w:lvlText w:val=""/>
      <w:lvlJc w:val="left"/>
      <w:pPr>
        <w:ind w:left="4717" w:hanging="360"/>
      </w:pPr>
      <w:rPr>
        <w:rFonts w:ascii="Wingdings" w:hAnsi="Wingdings" w:hint="default"/>
      </w:rPr>
    </w:lvl>
    <w:lvl w:ilvl="6" w:tplc="08090001" w:tentative="1">
      <w:start w:val="1"/>
      <w:numFmt w:val="bullet"/>
      <w:lvlText w:val=""/>
      <w:lvlJc w:val="left"/>
      <w:pPr>
        <w:ind w:left="5437" w:hanging="360"/>
      </w:pPr>
      <w:rPr>
        <w:rFonts w:ascii="Symbol" w:hAnsi="Symbol" w:hint="default"/>
      </w:rPr>
    </w:lvl>
    <w:lvl w:ilvl="7" w:tplc="08090003" w:tentative="1">
      <w:start w:val="1"/>
      <w:numFmt w:val="bullet"/>
      <w:lvlText w:val="o"/>
      <w:lvlJc w:val="left"/>
      <w:pPr>
        <w:ind w:left="6157" w:hanging="360"/>
      </w:pPr>
      <w:rPr>
        <w:rFonts w:ascii="Courier New" w:hAnsi="Courier New" w:cs="Courier New" w:hint="default"/>
      </w:rPr>
    </w:lvl>
    <w:lvl w:ilvl="8" w:tplc="08090005" w:tentative="1">
      <w:start w:val="1"/>
      <w:numFmt w:val="bullet"/>
      <w:lvlText w:val=""/>
      <w:lvlJc w:val="left"/>
      <w:pPr>
        <w:ind w:left="6877" w:hanging="360"/>
      </w:pPr>
      <w:rPr>
        <w:rFonts w:ascii="Wingdings" w:hAnsi="Wingdings" w:hint="default"/>
      </w:rPr>
    </w:lvl>
  </w:abstractNum>
  <w:abstractNum w:abstractNumId="13" w15:restartNumberingAfterBreak="0">
    <w:nsid w:val="5AE84DF1"/>
    <w:multiLevelType w:val="hybridMultilevel"/>
    <w:tmpl w:val="C1EE7582"/>
    <w:lvl w:ilvl="0" w:tplc="BEB2681A">
      <w:start w:val="1"/>
      <w:numFmt w:val="bullet"/>
      <w:lvlText w:val=""/>
      <w:lvlJc w:val="left"/>
      <w:pPr>
        <w:ind w:left="1117" w:hanging="360"/>
      </w:pPr>
      <w:rPr>
        <w:rFonts w:ascii="Symbol" w:hAnsi="Symbol" w:hint="default"/>
      </w:rPr>
    </w:lvl>
    <w:lvl w:ilvl="1" w:tplc="08090003" w:tentative="1">
      <w:start w:val="1"/>
      <w:numFmt w:val="bullet"/>
      <w:lvlText w:val="o"/>
      <w:lvlJc w:val="left"/>
      <w:pPr>
        <w:ind w:left="1837" w:hanging="360"/>
      </w:pPr>
      <w:rPr>
        <w:rFonts w:ascii="Courier New" w:hAnsi="Courier New" w:cs="Courier New" w:hint="default"/>
      </w:rPr>
    </w:lvl>
    <w:lvl w:ilvl="2" w:tplc="08090005" w:tentative="1">
      <w:start w:val="1"/>
      <w:numFmt w:val="bullet"/>
      <w:lvlText w:val=""/>
      <w:lvlJc w:val="left"/>
      <w:pPr>
        <w:ind w:left="2557" w:hanging="360"/>
      </w:pPr>
      <w:rPr>
        <w:rFonts w:ascii="Wingdings" w:hAnsi="Wingdings" w:hint="default"/>
      </w:rPr>
    </w:lvl>
    <w:lvl w:ilvl="3" w:tplc="08090001" w:tentative="1">
      <w:start w:val="1"/>
      <w:numFmt w:val="bullet"/>
      <w:lvlText w:val=""/>
      <w:lvlJc w:val="left"/>
      <w:pPr>
        <w:ind w:left="3277" w:hanging="360"/>
      </w:pPr>
      <w:rPr>
        <w:rFonts w:ascii="Symbol" w:hAnsi="Symbol" w:hint="default"/>
      </w:rPr>
    </w:lvl>
    <w:lvl w:ilvl="4" w:tplc="08090003" w:tentative="1">
      <w:start w:val="1"/>
      <w:numFmt w:val="bullet"/>
      <w:lvlText w:val="o"/>
      <w:lvlJc w:val="left"/>
      <w:pPr>
        <w:ind w:left="3997" w:hanging="360"/>
      </w:pPr>
      <w:rPr>
        <w:rFonts w:ascii="Courier New" w:hAnsi="Courier New" w:cs="Courier New" w:hint="default"/>
      </w:rPr>
    </w:lvl>
    <w:lvl w:ilvl="5" w:tplc="08090005" w:tentative="1">
      <w:start w:val="1"/>
      <w:numFmt w:val="bullet"/>
      <w:lvlText w:val=""/>
      <w:lvlJc w:val="left"/>
      <w:pPr>
        <w:ind w:left="4717" w:hanging="360"/>
      </w:pPr>
      <w:rPr>
        <w:rFonts w:ascii="Wingdings" w:hAnsi="Wingdings" w:hint="default"/>
      </w:rPr>
    </w:lvl>
    <w:lvl w:ilvl="6" w:tplc="08090001" w:tentative="1">
      <w:start w:val="1"/>
      <w:numFmt w:val="bullet"/>
      <w:lvlText w:val=""/>
      <w:lvlJc w:val="left"/>
      <w:pPr>
        <w:ind w:left="5437" w:hanging="360"/>
      </w:pPr>
      <w:rPr>
        <w:rFonts w:ascii="Symbol" w:hAnsi="Symbol" w:hint="default"/>
      </w:rPr>
    </w:lvl>
    <w:lvl w:ilvl="7" w:tplc="08090003" w:tentative="1">
      <w:start w:val="1"/>
      <w:numFmt w:val="bullet"/>
      <w:lvlText w:val="o"/>
      <w:lvlJc w:val="left"/>
      <w:pPr>
        <w:ind w:left="6157" w:hanging="360"/>
      </w:pPr>
      <w:rPr>
        <w:rFonts w:ascii="Courier New" w:hAnsi="Courier New" w:cs="Courier New" w:hint="default"/>
      </w:rPr>
    </w:lvl>
    <w:lvl w:ilvl="8" w:tplc="08090005" w:tentative="1">
      <w:start w:val="1"/>
      <w:numFmt w:val="bullet"/>
      <w:lvlText w:val=""/>
      <w:lvlJc w:val="left"/>
      <w:pPr>
        <w:ind w:left="6877" w:hanging="360"/>
      </w:pPr>
      <w:rPr>
        <w:rFonts w:ascii="Wingdings" w:hAnsi="Wingdings" w:hint="default"/>
      </w:rPr>
    </w:lvl>
  </w:abstractNum>
  <w:abstractNum w:abstractNumId="14" w15:restartNumberingAfterBreak="0">
    <w:nsid w:val="5CA02DDF"/>
    <w:multiLevelType w:val="hybridMultilevel"/>
    <w:tmpl w:val="D286EB5A"/>
    <w:lvl w:ilvl="0" w:tplc="8A66F3DC">
      <w:start w:val="1"/>
      <w:numFmt w:val="bullet"/>
      <w:lvlText w:val="–"/>
      <w:lvlJc w:val="left"/>
      <w:pPr>
        <w:ind w:left="720" w:hanging="360"/>
      </w:pPr>
      <w:rPr>
        <w:rFonts w:ascii="Calibri" w:hAnsi="Calibri"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5D77564C"/>
    <w:multiLevelType w:val="hybridMultilevel"/>
    <w:tmpl w:val="077095BC"/>
    <w:lvl w:ilvl="0" w:tplc="888A8148">
      <w:start w:val="1"/>
      <w:numFmt w:val="decimal"/>
      <w:lvlText w:val="%1."/>
      <w:lvlJc w:val="left"/>
      <w:pPr>
        <w:ind w:left="757" w:hanging="360"/>
      </w:pPr>
      <w:rPr>
        <w:rFonts w:hint="default"/>
      </w:rPr>
    </w:lvl>
    <w:lvl w:ilvl="1" w:tplc="08090019" w:tentative="1">
      <w:start w:val="1"/>
      <w:numFmt w:val="lowerLetter"/>
      <w:lvlText w:val="%2."/>
      <w:lvlJc w:val="left"/>
      <w:pPr>
        <w:ind w:left="1477" w:hanging="360"/>
      </w:pPr>
    </w:lvl>
    <w:lvl w:ilvl="2" w:tplc="0809001B" w:tentative="1">
      <w:start w:val="1"/>
      <w:numFmt w:val="lowerRoman"/>
      <w:lvlText w:val="%3."/>
      <w:lvlJc w:val="right"/>
      <w:pPr>
        <w:ind w:left="2197" w:hanging="180"/>
      </w:pPr>
    </w:lvl>
    <w:lvl w:ilvl="3" w:tplc="0809000F" w:tentative="1">
      <w:start w:val="1"/>
      <w:numFmt w:val="decimal"/>
      <w:lvlText w:val="%4."/>
      <w:lvlJc w:val="left"/>
      <w:pPr>
        <w:ind w:left="2917" w:hanging="360"/>
      </w:pPr>
    </w:lvl>
    <w:lvl w:ilvl="4" w:tplc="08090019" w:tentative="1">
      <w:start w:val="1"/>
      <w:numFmt w:val="lowerLetter"/>
      <w:lvlText w:val="%5."/>
      <w:lvlJc w:val="left"/>
      <w:pPr>
        <w:ind w:left="3637" w:hanging="360"/>
      </w:pPr>
    </w:lvl>
    <w:lvl w:ilvl="5" w:tplc="0809001B" w:tentative="1">
      <w:start w:val="1"/>
      <w:numFmt w:val="lowerRoman"/>
      <w:lvlText w:val="%6."/>
      <w:lvlJc w:val="right"/>
      <w:pPr>
        <w:ind w:left="4357" w:hanging="180"/>
      </w:pPr>
    </w:lvl>
    <w:lvl w:ilvl="6" w:tplc="0809000F" w:tentative="1">
      <w:start w:val="1"/>
      <w:numFmt w:val="decimal"/>
      <w:lvlText w:val="%7."/>
      <w:lvlJc w:val="left"/>
      <w:pPr>
        <w:ind w:left="5077" w:hanging="360"/>
      </w:pPr>
    </w:lvl>
    <w:lvl w:ilvl="7" w:tplc="08090019" w:tentative="1">
      <w:start w:val="1"/>
      <w:numFmt w:val="lowerLetter"/>
      <w:lvlText w:val="%8."/>
      <w:lvlJc w:val="left"/>
      <w:pPr>
        <w:ind w:left="5797" w:hanging="360"/>
      </w:pPr>
    </w:lvl>
    <w:lvl w:ilvl="8" w:tplc="0809001B" w:tentative="1">
      <w:start w:val="1"/>
      <w:numFmt w:val="lowerRoman"/>
      <w:lvlText w:val="%9."/>
      <w:lvlJc w:val="right"/>
      <w:pPr>
        <w:ind w:left="6517" w:hanging="180"/>
      </w:pPr>
    </w:lvl>
  </w:abstractNum>
  <w:abstractNum w:abstractNumId="16" w15:restartNumberingAfterBreak="0">
    <w:nsid w:val="707D3412"/>
    <w:multiLevelType w:val="hybridMultilevel"/>
    <w:tmpl w:val="93B4D3E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15:restartNumberingAfterBreak="0">
    <w:nsid w:val="729E5D0F"/>
    <w:multiLevelType w:val="multilevel"/>
    <w:tmpl w:val="F30463DC"/>
    <w:lvl w:ilvl="0">
      <w:start w:val="1"/>
      <w:numFmt w:val="decimal"/>
      <w:pStyle w:val="NumberedList"/>
      <w:lvlText w:val="%1)"/>
      <w:lvlJc w:val="left"/>
      <w:pPr>
        <w:tabs>
          <w:tab w:val="num" w:pos="456"/>
        </w:tabs>
        <w:ind w:left="397" w:hanging="301"/>
      </w:pPr>
      <w:rPr>
        <w:rFonts w:hint="default"/>
      </w:rPr>
    </w:lvl>
    <w:lvl w:ilvl="1">
      <w:start w:val="6"/>
      <w:numFmt w:val="decimal"/>
      <w:isLgl/>
      <w:lvlText w:val="%1.%2"/>
      <w:lvlJc w:val="left"/>
      <w:pPr>
        <w:tabs>
          <w:tab w:val="num" w:pos="870"/>
        </w:tabs>
        <w:ind w:left="870" w:hanging="51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1800"/>
        </w:tabs>
        <w:ind w:left="1800" w:hanging="1440"/>
      </w:pPr>
      <w:rPr>
        <w:rFonts w:hint="default"/>
      </w:rPr>
    </w:lvl>
  </w:abstractNum>
  <w:abstractNum w:abstractNumId="18" w15:restartNumberingAfterBreak="0">
    <w:nsid w:val="74442C81"/>
    <w:multiLevelType w:val="multilevel"/>
    <w:tmpl w:val="1BD8B2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6E741B8"/>
    <w:multiLevelType w:val="hybridMultilevel"/>
    <w:tmpl w:val="CB0E8AA0"/>
    <w:lvl w:ilvl="0" w:tplc="8A66F3DC">
      <w:start w:val="1"/>
      <w:numFmt w:val="bullet"/>
      <w:lvlText w:val="–"/>
      <w:lvlJc w:val="left"/>
      <w:pPr>
        <w:ind w:left="720" w:hanging="360"/>
      </w:pPr>
      <w:rPr>
        <w:rFonts w:ascii="Calibri" w:hAnsi="Calibri"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15:restartNumberingAfterBreak="0">
    <w:nsid w:val="78506BCA"/>
    <w:multiLevelType w:val="multilevel"/>
    <w:tmpl w:val="4C084BB8"/>
    <w:lvl w:ilvl="0">
      <w:start w:val="1"/>
      <w:numFmt w:val="bullet"/>
      <w:pStyle w:val="Bullet"/>
      <w:lvlText w:val=""/>
      <w:lvlJc w:val="left"/>
      <w:pPr>
        <w:tabs>
          <w:tab w:val="num" w:pos="439"/>
        </w:tabs>
        <w:ind w:left="397" w:hanging="318"/>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num w:numId="1" w16cid:durableId="1436360168">
    <w:abstractNumId w:val="7"/>
  </w:num>
  <w:num w:numId="2" w16cid:durableId="1002394208">
    <w:abstractNumId w:val="17"/>
  </w:num>
  <w:num w:numId="3" w16cid:durableId="686835541">
    <w:abstractNumId w:val="9"/>
  </w:num>
  <w:num w:numId="4" w16cid:durableId="2119254617">
    <w:abstractNumId w:val="5"/>
  </w:num>
  <w:num w:numId="5" w16cid:durableId="1332830601">
    <w:abstractNumId w:val="17"/>
  </w:num>
  <w:num w:numId="6" w16cid:durableId="783695743">
    <w:abstractNumId w:val="17"/>
  </w:num>
  <w:num w:numId="7" w16cid:durableId="136192237">
    <w:abstractNumId w:val="17"/>
    <w:lvlOverride w:ilvl="0">
      <w:startOverride w:val="1"/>
    </w:lvlOverride>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904482029">
    <w:abstractNumId w:val="20"/>
  </w:num>
  <w:num w:numId="9" w16cid:durableId="870458801">
    <w:abstractNumId w:val="6"/>
  </w:num>
  <w:num w:numId="10" w16cid:durableId="2091851074">
    <w:abstractNumId w:val="6"/>
    <w:lvlOverride w:ilvl="0">
      <w:startOverride w:val="1"/>
    </w:lvlOverride>
  </w:num>
  <w:num w:numId="11" w16cid:durableId="1932203651">
    <w:abstractNumId w:val="15"/>
  </w:num>
  <w:num w:numId="12" w16cid:durableId="1980451820">
    <w:abstractNumId w:val="8"/>
  </w:num>
  <w:num w:numId="13" w16cid:durableId="1406419117">
    <w:abstractNumId w:val="3"/>
  </w:num>
  <w:num w:numId="14" w16cid:durableId="955210382">
    <w:abstractNumId w:val="18"/>
  </w:num>
  <w:num w:numId="15" w16cid:durableId="1380204392">
    <w:abstractNumId w:val="11"/>
  </w:num>
  <w:num w:numId="16" w16cid:durableId="484056919">
    <w:abstractNumId w:val="10"/>
  </w:num>
  <w:num w:numId="17" w16cid:durableId="2031028771">
    <w:abstractNumId w:val="0"/>
  </w:num>
  <w:num w:numId="18" w16cid:durableId="1735855026">
    <w:abstractNumId w:val="12"/>
  </w:num>
  <w:num w:numId="19" w16cid:durableId="603072331">
    <w:abstractNumId w:val="4"/>
  </w:num>
  <w:num w:numId="20" w16cid:durableId="1927228832">
    <w:abstractNumId w:val="13"/>
  </w:num>
  <w:num w:numId="21" w16cid:durableId="744456071">
    <w:abstractNumId w:val="19"/>
  </w:num>
  <w:num w:numId="22" w16cid:durableId="1755711035">
    <w:abstractNumId w:val="1"/>
  </w:num>
  <w:num w:numId="23" w16cid:durableId="1242983029">
    <w:abstractNumId w:val="16"/>
  </w:num>
  <w:num w:numId="24" w16cid:durableId="913390670">
    <w:abstractNumId w:val="2"/>
  </w:num>
  <w:num w:numId="25" w16cid:durableId="277682099">
    <w:abstractNumId w:val="14"/>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JC">
    <w15:presenceInfo w15:providerId="None" w15:userId="JC"/>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mirrorMargins/>
  <w:attachedTemplate r:id="rId1"/>
  <w:defaultTabStop w:val="397"/>
  <w:autoHyphenation/>
  <w:hyphenationZone w:val="357"/>
  <w:evenAndOddHeaders/>
  <w:drawingGridHorizontalSpacing w:val="181"/>
  <w:drawingGridVerticalSpacing w:val="181"/>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55A87"/>
    <w:rsid w:val="0000432A"/>
    <w:rsid w:val="00034618"/>
    <w:rsid w:val="00055038"/>
    <w:rsid w:val="000847A8"/>
    <w:rsid w:val="000A41C2"/>
    <w:rsid w:val="000C0DDE"/>
    <w:rsid w:val="000C6A3B"/>
    <w:rsid w:val="000E6EB0"/>
    <w:rsid w:val="000F44FC"/>
    <w:rsid w:val="000F6134"/>
    <w:rsid w:val="0011289B"/>
    <w:rsid w:val="00114A4B"/>
    <w:rsid w:val="00152A3D"/>
    <w:rsid w:val="00163182"/>
    <w:rsid w:val="001644E9"/>
    <w:rsid w:val="00187B1C"/>
    <w:rsid w:val="001A091B"/>
    <w:rsid w:val="001B471D"/>
    <w:rsid w:val="001B75BD"/>
    <w:rsid w:val="001C7459"/>
    <w:rsid w:val="001D35C9"/>
    <w:rsid w:val="001D7736"/>
    <w:rsid w:val="001E66AD"/>
    <w:rsid w:val="001E76EE"/>
    <w:rsid w:val="001F3800"/>
    <w:rsid w:val="002017E1"/>
    <w:rsid w:val="0020406A"/>
    <w:rsid w:val="0020554E"/>
    <w:rsid w:val="002271B5"/>
    <w:rsid w:val="00231C63"/>
    <w:rsid w:val="00243C2B"/>
    <w:rsid w:val="00255239"/>
    <w:rsid w:val="0026620C"/>
    <w:rsid w:val="002701DD"/>
    <w:rsid w:val="00274B01"/>
    <w:rsid w:val="00282618"/>
    <w:rsid w:val="00287C5D"/>
    <w:rsid w:val="002B2451"/>
    <w:rsid w:val="002C3956"/>
    <w:rsid w:val="002C7C2A"/>
    <w:rsid w:val="002D1535"/>
    <w:rsid w:val="002E504F"/>
    <w:rsid w:val="002F19F3"/>
    <w:rsid w:val="002F4213"/>
    <w:rsid w:val="003438CC"/>
    <w:rsid w:val="00346B0A"/>
    <w:rsid w:val="00354794"/>
    <w:rsid w:val="003A71A2"/>
    <w:rsid w:val="003B2354"/>
    <w:rsid w:val="003D7B96"/>
    <w:rsid w:val="00400FDD"/>
    <w:rsid w:val="004276BC"/>
    <w:rsid w:val="004430E5"/>
    <w:rsid w:val="00457308"/>
    <w:rsid w:val="0045781D"/>
    <w:rsid w:val="004735E9"/>
    <w:rsid w:val="00481045"/>
    <w:rsid w:val="00485B37"/>
    <w:rsid w:val="00493953"/>
    <w:rsid w:val="00493E0D"/>
    <w:rsid w:val="004B24AD"/>
    <w:rsid w:val="004B4401"/>
    <w:rsid w:val="004B6912"/>
    <w:rsid w:val="004C4875"/>
    <w:rsid w:val="004C7349"/>
    <w:rsid w:val="004E0E58"/>
    <w:rsid w:val="004E5680"/>
    <w:rsid w:val="00514974"/>
    <w:rsid w:val="00523750"/>
    <w:rsid w:val="005249EB"/>
    <w:rsid w:val="005315FB"/>
    <w:rsid w:val="00547D3C"/>
    <w:rsid w:val="00582AFF"/>
    <w:rsid w:val="005C1D5C"/>
    <w:rsid w:val="005C2318"/>
    <w:rsid w:val="005D2BB1"/>
    <w:rsid w:val="005E4E62"/>
    <w:rsid w:val="005F1670"/>
    <w:rsid w:val="005F3CD3"/>
    <w:rsid w:val="00612E23"/>
    <w:rsid w:val="0062082B"/>
    <w:rsid w:val="006300E1"/>
    <w:rsid w:val="006329EE"/>
    <w:rsid w:val="00647C77"/>
    <w:rsid w:val="00647EB1"/>
    <w:rsid w:val="00664EC5"/>
    <w:rsid w:val="00667FEE"/>
    <w:rsid w:val="00681897"/>
    <w:rsid w:val="006A7515"/>
    <w:rsid w:val="006D473D"/>
    <w:rsid w:val="006D6FC2"/>
    <w:rsid w:val="006E2F8F"/>
    <w:rsid w:val="006F1A0F"/>
    <w:rsid w:val="00705BE7"/>
    <w:rsid w:val="007141B6"/>
    <w:rsid w:val="00717CC5"/>
    <w:rsid w:val="00720D01"/>
    <w:rsid w:val="00724282"/>
    <w:rsid w:val="0074189D"/>
    <w:rsid w:val="00766E85"/>
    <w:rsid w:val="00773507"/>
    <w:rsid w:val="007745DA"/>
    <w:rsid w:val="00790C34"/>
    <w:rsid w:val="0079689F"/>
    <w:rsid w:val="007A6A37"/>
    <w:rsid w:val="007C52A3"/>
    <w:rsid w:val="007D0350"/>
    <w:rsid w:val="007D555D"/>
    <w:rsid w:val="007D6A97"/>
    <w:rsid w:val="007E2F2A"/>
    <w:rsid w:val="007F1D1A"/>
    <w:rsid w:val="007F32CF"/>
    <w:rsid w:val="00824473"/>
    <w:rsid w:val="00861299"/>
    <w:rsid w:val="00892367"/>
    <w:rsid w:val="008931A5"/>
    <w:rsid w:val="0089771C"/>
    <w:rsid w:val="008A11AE"/>
    <w:rsid w:val="008A4D67"/>
    <w:rsid w:val="008A538D"/>
    <w:rsid w:val="008B1EF7"/>
    <w:rsid w:val="008B68D8"/>
    <w:rsid w:val="008D0DF8"/>
    <w:rsid w:val="008D72C7"/>
    <w:rsid w:val="008D7E6F"/>
    <w:rsid w:val="008E4811"/>
    <w:rsid w:val="009041A2"/>
    <w:rsid w:val="00923590"/>
    <w:rsid w:val="00940B69"/>
    <w:rsid w:val="009654BB"/>
    <w:rsid w:val="009728BB"/>
    <w:rsid w:val="009728BC"/>
    <w:rsid w:val="0097486B"/>
    <w:rsid w:val="00975286"/>
    <w:rsid w:val="00981966"/>
    <w:rsid w:val="00992A81"/>
    <w:rsid w:val="00993E97"/>
    <w:rsid w:val="009A1FF5"/>
    <w:rsid w:val="009B2875"/>
    <w:rsid w:val="009D49EE"/>
    <w:rsid w:val="009D4E25"/>
    <w:rsid w:val="009D5EBB"/>
    <w:rsid w:val="009D6BC7"/>
    <w:rsid w:val="00A16ACA"/>
    <w:rsid w:val="00A2040D"/>
    <w:rsid w:val="00A228FB"/>
    <w:rsid w:val="00A31CF9"/>
    <w:rsid w:val="00A340A1"/>
    <w:rsid w:val="00A51A44"/>
    <w:rsid w:val="00A53EFB"/>
    <w:rsid w:val="00AB3DA8"/>
    <w:rsid w:val="00AB48E9"/>
    <w:rsid w:val="00AE389B"/>
    <w:rsid w:val="00AE55CD"/>
    <w:rsid w:val="00AF3C41"/>
    <w:rsid w:val="00B016DE"/>
    <w:rsid w:val="00B01BB2"/>
    <w:rsid w:val="00B06CC3"/>
    <w:rsid w:val="00B26375"/>
    <w:rsid w:val="00B3468E"/>
    <w:rsid w:val="00B502F0"/>
    <w:rsid w:val="00B61D89"/>
    <w:rsid w:val="00B61F23"/>
    <w:rsid w:val="00BB4F14"/>
    <w:rsid w:val="00BD09DA"/>
    <w:rsid w:val="00BD0B09"/>
    <w:rsid w:val="00BD594B"/>
    <w:rsid w:val="00BE7432"/>
    <w:rsid w:val="00C05D24"/>
    <w:rsid w:val="00C05F7C"/>
    <w:rsid w:val="00C13B94"/>
    <w:rsid w:val="00C16596"/>
    <w:rsid w:val="00C16D1B"/>
    <w:rsid w:val="00C21CED"/>
    <w:rsid w:val="00C426D5"/>
    <w:rsid w:val="00C533C0"/>
    <w:rsid w:val="00C5714E"/>
    <w:rsid w:val="00C92697"/>
    <w:rsid w:val="00C9745B"/>
    <w:rsid w:val="00CA114A"/>
    <w:rsid w:val="00CB2E67"/>
    <w:rsid w:val="00CB39C0"/>
    <w:rsid w:val="00CB5B6E"/>
    <w:rsid w:val="00CB73BC"/>
    <w:rsid w:val="00CD49BB"/>
    <w:rsid w:val="00D10197"/>
    <w:rsid w:val="00D11201"/>
    <w:rsid w:val="00D162EE"/>
    <w:rsid w:val="00D25182"/>
    <w:rsid w:val="00D438BA"/>
    <w:rsid w:val="00D54809"/>
    <w:rsid w:val="00D57AD5"/>
    <w:rsid w:val="00D842B1"/>
    <w:rsid w:val="00D93C7D"/>
    <w:rsid w:val="00D93E9C"/>
    <w:rsid w:val="00D979BA"/>
    <w:rsid w:val="00DA2D57"/>
    <w:rsid w:val="00DA703B"/>
    <w:rsid w:val="00DB3065"/>
    <w:rsid w:val="00DB3279"/>
    <w:rsid w:val="00DB3BF7"/>
    <w:rsid w:val="00DD0CD2"/>
    <w:rsid w:val="00DD5721"/>
    <w:rsid w:val="00DF47BE"/>
    <w:rsid w:val="00E24B43"/>
    <w:rsid w:val="00E2709F"/>
    <w:rsid w:val="00E432B1"/>
    <w:rsid w:val="00E51DB8"/>
    <w:rsid w:val="00E55A87"/>
    <w:rsid w:val="00E613A4"/>
    <w:rsid w:val="00E739F6"/>
    <w:rsid w:val="00EA2FA2"/>
    <w:rsid w:val="00ED0CA2"/>
    <w:rsid w:val="00EF2594"/>
    <w:rsid w:val="00F11EB3"/>
    <w:rsid w:val="00F24273"/>
    <w:rsid w:val="00F47C42"/>
    <w:rsid w:val="00F72FC1"/>
    <w:rsid w:val="00F90F80"/>
    <w:rsid w:val="00F95758"/>
    <w:rsid w:val="00F96AF1"/>
    <w:rsid w:val="00FA15EA"/>
    <w:rsid w:val="00FA5B57"/>
    <w:rsid w:val="00FC67CD"/>
    <w:rsid w:val="00FD3A09"/>
    <w:rsid w:val="00FD6A79"/>
    <w:rsid w:val="00FF2328"/>
    <w:rsid w:val="00FF76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26D29ABD"/>
  <w15:docId w15:val="{2A19260C-76E0-4910-A8DB-39AA5D35D6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7745DA"/>
    <w:pPr>
      <w:spacing w:before="60" w:after="60" w:line="240" w:lineRule="exact"/>
      <w:ind w:firstLine="397"/>
      <w:jc w:val="both"/>
    </w:pPr>
    <w:rPr>
      <w:lang w:val="pl-PL" w:eastAsia="pl-PL"/>
    </w:rPr>
  </w:style>
  <w:style w:type="paragraph" w:styleId="Nagwek1">
    <w:name w:val="heading 1"/>
    <w:basedOn w:val="Normalny"/>
    <w:next w:val="Normalny"/>
    <w:qFormat/>
    <w:pPr>
      <w:keepNext/>
      <w:spacing w:before="240"/>
      <w:outlineLvl w:val="0"/>
    </w:pPr>
    <w:rPr>
      <w:rFonts w:ascii="Arial" w:hAnsi="Arial" w:cs="Arial"/>
      <w:b/>
      <w:bCs/>
      <w:kern w:val="32"/>
      <w:sz w:val="32"/>
      <w:szCs w:val="32"/>
    </w:rPr>
  </w:style>
  <w:style w:type="paragraph" w:styleId="Nagwek2">
    <w:name w:val="heading 2"/>
    <w:basedOn w:val="Normalny"/>
    <w:link w:val="Nagwek2Znak"/>
    <w:uiPriority w:val="9"/>
    <w:qFormat/>
    <w:rsid w:val="0045781D"/>
    <w:pPr>
      <w:spacing w:before="100" w:beforeAutospacing="1" w:after="100" w:afterAutospacing="1" w:line="240" w:lineRule="auto"/>
      <w:ind w:firstLine="0"/>
      <w:jc w:val="left"/>
      <w:outlineLvl w:val="1"/>
    </w:pPr>
    <w:rPr>
      <w:b/>
      <w:bCs/>
      <w:sz w:val="36"/>
      <w:szCs w:val="36"/>
      <w:lang w:val="en-GB" w:eastAsia="en-GB"/>
    </w:rPr>
  </w:style>
  <w:style w:type="paragraph" w:styleId="Nagwek3">
    <w:name w:val="heading 3"/>
    <w:basedOn w:val="Normalny"/>
    <w:next w:val="Normalny"/>
    <w:link w:val="Nagwek3Znak"/>
    <w:uiPriority w:val="9"/>
    <w:semiHidden/>
    <w:unhideWhenUsed/>
    <w:qFormat/>
    <w:rsid w:val="00D93C7D"/>
    <w:pPr>
      <w:keepNext/>
      <w:keepLines/>
      <w:spacing w:before="200" w:after="0"/>
      <w:outlineLvl w:val="2"/>
    </w:pPr>
    <w:rPr>
      <w:rFonts w:asciiTheme="majorHAnsi" w:eastAsiaTheme="majorEastAsia" w:hAnsiTheme="majorHAnsi" w:cstheme="majorBidi"/>
      <w:b/>
      <w:bCs/>
      <w:color w:val="4F81BD" w:themeColor="accent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Stopka">
    <w:name w:val="footer"/>
    <w:basedOn w:val="Normalny"/>
    <w:semiHidden/>
    <w:pPr>
      <w:tabs>
        <w:tab w:val="center" w:pos="4536"/>
        <w:tab w:val="right" w:pos="9072"/>
      </w:tabs>
    </w:pPr>
  </w:style>
  <w:style w:type="character" w:styleId="Numerstrony">
    <w:name w:val="page number"/>
    <w:basedOn w:val="Domylnaczcionkaakapitu"/>
    <w:semiHidden/>
  </w:style>
  <w:style w:type="paragraph" w:customStyle="1" w:styleId="BulletedList">
    <w:name w:val="Bulleted List"/>
    <w:basedOn w:val="NoIndent"/>
    <w:pPr>
      <w:numPr>
        <w:numId w:val="1"/>
      </w:numPr>
      <w:tabs>
        <w:tab w:val="clear" w:pos="439"/>
        <w:tab w:val="left" w:pos="397"/>
      </w:tabs>
    </w:pPr>
  </w:style>
  <w:style w:type="paragraph" w:customStyle="1" w:styleId="Authors">
    <w:name w:val="Authors"/>
    <w:basedOn w:val="Normalny"/>
    <w:rsid w:val="004B6912"/>
    <w:pPr>
      <w:spacing w:before="560" w:after="0"/>
      <w:ind w:left="397" w:firstLine="0"/>
      <w:jc w:val="left"/>
      <w:outlineLvl w:val="0"/>
    </w:pPr>
    <w:rPr>
      <w:noProof/>
      <w:sz w:val="22"/>
    </w:rPr>
  </w:style>
  <w:style w:type="paragraph" w:styleId="Tytu">
    <w:name w:val="Title"/>
    <w:basedOn w:val="Normalny"/>
    <w:qFormat/>
    <w:rsid w:val="004B6912"/>
    <w:pPr>
      <w:spacing w:before="560" w:after="264" w:line="240" w:lineRule="auto"/>
      <w:ind w:left="397" w:firstLine="0"/>
      <w:jc w:val="left"/>
      <w:outlineLvl w:val="0"/>
    </w:pPr>
    <w:rPr>
      <w:rFonts w:cs="Arial"/>
      <w:b/>
      <w:bCs/>
      <w:kern w:val="28"/>
      <w:sz w:val="28"/>
      <w:szCs w:val="32"/>
    </w:rPr>
  </w:style>
  <w:style w:type="paragraph" w:customStyle="1" w:styleId="Summary">
    <w:name w:val="Summary"/>
    <w:basedOn w:val="Normalny"/>
    <w:autoRedefine/>
    <w:pPr>
      <w:spacing w:line="200" w:lineRule="exact"/>
      <w:ind w:firstLine="0"/>
    </w:pPr>
    <w:rPr>
      <w:sz w:val="18"/>
      <w:lang w:val="en-US"/>
    </w:rPr>
  </w:style>
  <w:style w:type="paragraph" w:customStyle="1" w:styleId="Subtitle1">
    <w:name w:val="Subtitle 1"/>
    <w:basedOn w:val="Nagwek1"/>
    <w:rsid w:val="00ED0CA2"/>
    <w:pPr>
      <w:tabs>
        <w:tab w:val="left" w:pos="567"/>
      </w:tabs>
      <w:spacing w:before="288" w:after="154"/>
      <w:ind w:left="397" w:firstLine="0"/>
      <w:jc w:val="left"/>
    </w:pPr>
    <w:rPr>
      <w:rFonts w:ascii="Times New Roman" w:hAnsi="Times New Roman"/>
      <w:sz w:val="24"/>
      <w:lang w:val="en-US"/>
    </w:rPr>
  </w:style>
  <w:style w:type="paragraph" w:styleId="Tekstprzypisudolnego">
    <w:name w:val="footnote text"/>
    <w:basedOn w:val="Normalny"/>
    <w:autoRedefine/>
    <w:semiHidden/>
    <w:rsid w:val="00D438BA"/>
    <w:pPr>
      <w:tabs>
        <w:tab w:val="left" w:pos="680"/>
      </w:tabs>
      <w:ind w:left="709" w:hanging="283"/>
    </w:pPr>
    <w:rPr>
      <w:sz w:val="18"/>
    </w:rPr>
  </w:style>
  <w:style w:type="character" w:styleId="Odwoanieprzypisudolnego">
    <w:name w:val="footnote reference"/>
    <w:basedOn w:val="Domylnaczcionkaakapitu"/>
    <w:semiHidden/>
    <w:rPr>
      <w:vertAlign w:val="superscript"/>
    </w:rPr>
  </w:style>
  <w:style w:type="paragraph" w:customStyle="1" w:styleId="NumberedList">
    <w:name w:val="Numbered List"/>
    <w:basedOn w:val="NoIndent"/>
    <w:autoRedefine/>
    <w:pPr>
      <w:numPr>
        <w:numId w:val="7"/>
      </w:numPr>
    </w:pPr>
  </w:style>
  <w:style w:type="paragraph" w:customStyle="1" w:styleId="NoIndent">
    <w:name w:val="No Indent"/>
    <w:basedOn w:val="Normalny"/>
    <w:pPr>
      <w:spacing w:before="0" w:after="0"/>
      <w:ind w:firstLine="0"/>
    </w:pPr>
  </w:style>
  <w:style w:type="paragraph" w:customStyle="1" w:styleId="Subtitle2">
    <w:name w:val="Subtitle 2"/>
    <w:basedOn w:val="Subtitle1"/>
    <w:rPr>
      <w:sz w:val="22"/>
    </w:rPr>
  </w:style>
  <w:style w:type="paragraph" w:customStyle="1" w:styleId="Equation">
    <w:name w:val="Equation"/>
    <w:basedOn w:val="NoIndent"/>
    <w:link w:val="EquationChar"/>
    <w:autoRedefine/>
    <w:rsid w:val="009D4E25"/>
    <w:pPr>
      <w:tabs>
        <w:tab w:val="center" w:pos="3686"/>
        <w:tab w:val="right" w:pos="7371"/>
      </w:tabs>
      <w:spacing w:before="120" w:after="120" w:line="240" w:lineRule="atLeast"/>
      <w:jc w:val="center"/>
    </w:pPr>
  </w:style>
  <w:style w:type="paragraph" w:styleId="Nagwek">
    <w:name w:val="header"/>
    <w:basedOn w:val="Normalny"/>
    <w:semiHidden/>
    <w:pPr>
      <w:tabs>
        <w:tab w:val="center" w:pos="4536"/>
        <w:tab w:val="right" w:pos="9072"/>
      </w:tabs>
    </w:pPr>
  </w:style>
  <w:style w:type="paragraph" w:customStyle="1" w:styleId="TableRight">
    <w:name w:val="Table Right"/>
    <w:basedOn w:val="NoIndent"/>
    <w:pPr>
      <w:jc w:val="right"/>
    </w:pPr>
    <w:rPr>
      <w:i/>
      <w:iCs/>
    </w:rPr>
  </w:style>
  <w:style w:type="paragraph" w:customStyle="1" w:styleId="TableLeft">
    <w:name w:val="Table Left"/>
    <w:basedOn w:val="NoIndent"/>
  </w:style>
  <w:style w:type="paragraph" w:customStyle="1" w:styleId="TableCentre">
    <w:name w:val="Table Centre"/>
    <w:basedOn w:val="NoIndent"/>
    <w:autoRedefine/>
    <w:pPr>
      <w:jc w:val="center"/>
    </w:pPr>
    <w:rPr>
      <w:sz w:val="18"/>
    </w:rPr>
  </w:style>
  <w:style w:type="paragraph" w:customStyle="1" w:styleId="TableCaption">
    <w:name w:val="Table Caption"/>
    <w:basedOn w:val="NoIndent"/>
    <w:autoRedefine/>
    <w:pPr>
      <w:keepNext/>
      <w:spacing w:before="300"/>
      <w:jc w:val="center"/>
    </w:pPr>
    <w:rPr>
      <w:b/>
      <w:sz w:val="18"/>
    </w:rPr>
  </w:style>
  <w:style w:type="paragraph" w:customStyle="1" w:styleId="TableTitle">
    <w:name w:val="Table Title"/>
    <w:basedOn w:val="TableCaption"/>
    <w:autoRedefine/>
    <w:pPr>
      <w:spacing w:before="60" w:after="60"/>
    </w:pPr>
    <w:rPr>
      <w:b w:val="0"/>
    </w:rPr>
  </w:style>
  <w:style w:type="paragraph" w:customStyle="1" w:styleId="TableHeading">
    <w:name w:val="Table Heading"/>
    <w:basedOn w:val="TableCaption"/>
    <w:pPr>
      <w:spacing w:before="40" w:after="40"/>
    </w:pPr>
    <w:rPr>
      <w:b w:val="0"/>
      <w:bCs/>
    </w:rPr>
  </w:style>
  <w:style w:type="paragraph" w:customStyle="1" w:styleId="TableText">
    <w:name w:val="Table Text"/>
    <w:basedOn w:val="TableCaption"/>
    <w:autoRedefine/>
    <w:pPr>
      <w:spacing w:before="40" w:after="40"/>
      <w:jc w:val="left"/>
    </w:pPr>
    <w:rPr>
      <w:b w:val="0"/>
      <w:bCs/>
    </w:rPr>
  </w:style>
  <w:style w:type="paragraph" w:customStyle="1" w:styleId="TableTextCentre">
    <w:name w:val="Table Text Centre"/>
    <w:basedOn w:val="TableText"/>
    <w:pPr>
      <w:jc w:val="center"/>
    </w:pPr>
  </w:style>
  <w:style w:type="paragraph" w:customStyle="1" w:styleId="TableNotes">
    <w:name w:val="Table Notes"/>
    <w:basedOn w:val="NoIndent"/>
    <w:autoRedefine/>
    <w:rPr>
      <w:sz w:val="16"/>
    </w:rPr>
  </w:style>
  <w:style w:type="paragraph" w:styleId="Legenda">
    <w:name w:val="caption"/>
    <w:basedOn w:val="Normalny"/>
    <w:next w:val="Normalny"/>
    <w:autoRedefine/>
    <w:qFormat/>
    <w:rsid w:val="00E51DB8"/>
    <w:pPr>
      <w:spacing w:before="0" w:after="0" w:line="360" w:lineRule="auto"/>
      <w:ind w:firstLine="0"/>
      <w:jc w:val="left"/>
    </w:pPr>
    <w:rPr>
      <w:sz w:val="24"/>
      <w:szCs w:val="24"/>
      <w:lang w:val="en-GB"/>
    </w:rPr>
  </w:style>
  <w:style w:type="paragraph" w:customStyle="1" w:styleId="References">
    <w:name w:val="References"/>
    <w:basedOn w:val="NoIndent"/>
    <w:rsid w:val="00992A81"/>
    <w:pPr>
      <w:numPr>
        <w:numId w:val="9"/>
      </w:numPr>
      <w:spacing w:after="60"/>
      <w:jc w:val="left"/>
    </w:pPr>
  </w:style>
  <w:style w:type="paragraph" w:customStyle="1" w:styleId="Subtitle3">
    <w:name w:val="Subtitle 3"/>
    <w:basedOn w:val="Subtitle2"/>
    <w:autoRedefine/>
    <w:rPr>
      <w:sz w:val="20"/>
      <w:lang w:val="pl-PL"/>
    </w:rPr>
  </w:style>
  <w:style w:type="paragraph" w:styleId="Tekstpodstawowywcity">
    <w:name w:val="Body Text Indent"/>
    <w:basedOn w:val="Normalny"/>
    <w:semiHidden/>
  </w:style>
  <w:style w:type="paragraph" w:customStyle="1" w:styleId="Recenzent">
    <w:name w:val="Recenzent"/>
    <w:basedOn w:val="NoIndent"/>
    <w:pPr>
      <w:spacing w:before="567" w:after="360"/>
      <w:ind w:left="397"/>
    </w:pPr>
  </w:style>
  <w:style w:type="paragraph" w:styleId="Tekstprzypisukocowego">
    <w:name w:val="endnote text"/>
    <w:basedOn w:val="Normalny"/>
    <w:semiHidden/>
  </w:style>
  <w:style w:type="character" w:styleId="Odwoanieprzypisukocowego">
    <w:name w:val="endnote reference"/>
    <w:basedOn w:val="Domylnaczcionkaakapitu"/>
    <w:semiHidden/>
    <w:rPr>
      <w:vertAlign w:val="superscript"/>
    </w:rPr>
  </w:style>
  <w:style w:type="paragraph" w:customStyle="1" w:styleId="SummaryGB">
    <w:name w:val="Summary GB"/>
    <w:basedOn w:val="Summary"/>
    <w:autoRedefine/>
    <w:pPr>
      <w:spacing w:before="240"/>
    </w:pPr>
  </w:style>
  <w:style w:type="paragraph" w:customStyle="1" w:styleId="Figure">
    <w:name w:val="Figure"/>
    <w:basedOn w:val="Legenda"/>
    <w:pPr>
      <w:spacing w:line="240" w:lineRule="atLeast"/>
      <w:jc w:val="center"/>
    </w:pPr>
  </w:style>
  <w:style w:type="paragraph" w:styleId="Spistreci9">
    <w:name w:val="toc 9"/>
    <w:basedOn w:val="Normalny"/>
    <w:next w:val="Normalny"/>
    <w:autoRedefine/>
    <w:semiHidden/>
    <w:pPr>
      <w:autoSpaceDE w:val="0"/>
      <w:autoSpaceDN w:val="0"/>
      <w:spacing w:before="0" w:after="0" w:line="240" w:lineRule="auto"/>
      <w:ind w:left="1920"/>
    </w:pPr>
  </w:style>
  <w:style w:type="paragraph" w:styleId="Tekstpodstawowywcity3">
    <w:name w:val="Body Text Indent 3"/>
    <w:basedOn w:val="Normalny"/>
    <w:semiHidden/>
    <w:pPr>
      <w:autoSpaceDE w:val="0"/>
      <w:autoSpaceDN w:val="0"/>
      <w:spacing w:before="0" w:after="0" w:line="240" w:lineRule="auto"/>
      <w:ind w:firstLine="284"/>
    </w:pPr>
  </w:style>
  <w:style w:type="paragraph" w:customStyle="1" w:styleId="Bullet">
    <w:name w:val="Bullet"/>
    <w:basedOn w:val="Tekstpodstawowywcity"/>
    <w:autoRedefine/>
    <w:pPr>
      <w:numPr>
        <w:numId w:val="8"/>
      </w:numPr>
      <w:tabs>
        <w:tab w:val="left" w:pos="397"/>
      </w:tabs>
      <w:autoSpaceDE w:val="0"/>
      <w:autoSpaceDN w:val="0"/>
      <w:spacing w:before="0" w:after="0" w:line="240" w:lineRule="auto"/>
    </w:pPr>
  </w:style>
  <w:style w:type="paragraph" w:styleId="Tekstdymka">
    <w:name w:val="Balloon Text"/>
    <w:basedOn w:val="Normalny"/>
    <w:link w:val="TekstdymkaZnak"/>
    <w:uiPriority w:val="99"/>
    <w:semiHidden/>
    <w:unhideWhenUsed/>
    <w:rsid w:val="00BE7432"/>
    <w:pPr>
      <w:spacing w:before="0"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BE7432"/>
    <w:rPr>
      <w:rFonts w:ascii="Tahoma" w:hAnsi="Tahoma" w:cs="Tahoma"/>
      <w:sz w:val="16"/>
      <w:szCs w:val="16"/>
      <w:lang w:val="pl-PL" w:eastAsia="pl-PL"/>
    </w:rPr>
  </w:style>
  <w:style w:type="paragraph" w:styleId="Akapitzlist">
    <w:name w:val="List Paragraph"/>
    <w:basedOn w:val="Normalny"/>
    <w:uiPriority w:val="34"/>
    <w:qFormat/>
    <w:rsid w:val="001A091B"/>
    <w:pPr>
      <w:ind w:left="720"/>
      <w:contextualSpacing/>
    </w:pPr>
  </w:style>
  <w:style w:type="character" w:styleId="Hipercze">
    <w:name w:val="Hyperlink"/>
    <w:basedOn w:val="Domylnaczcionkaakapitu"/>
    <w:uiPriority w:val="99"/>
    <w:unhideWhenUsed/>
    <w:rsid w:val="008B1EF7"/>
    <w:rPr>
      <w:color w:val="0000FF"/>
      <w:u w:val="single"/>
    </w:rPr>
  </w:style>
  <w:style w:type="character" w:customStyle="1" w:styleId="Nagwek2Znak">
    <w:name w:val="Nagłówek 2 Znak"/>
    <w:basedOn w:val="Domylnaczcionkaakapitu"/>
    <w:link w:val="Nagwek2"/>
    <w:uiPriority w:val="9"/>
    <w:rsid w:val="0045781D"/>
    <w:rPr>
      <w:b/>
      <w:bCs/>
      <w:sz w:val="36"/>
      <w:szCs w:val="36"/>
    </w:rPr>
  </w:style>
  <w:style w:type="paragraph" w:styleId="NormalnyWeb">
    <w:name w:val="Normal (Web)"/>
    <w:basedOn w:val="Normalny"/>
    <w:uiPriority w:val="99"/>
    <w:semiHidden/>
    <w:unhideWhenUsed/>
    <w:rsid w:val="0045781D"/>
    <w:pPr>
      <w:spacing w:before="100" w:beforeAutospacing="1" w:after="100" w:afterAutospacing="1" w:line="240" w:lineRule="auto"/>
      <w:ind w:firstLine="0"/>
      <w:jc w:val="left"/>
    </w:pPr>
    <w:rPr>
      <w:sz w:val="24"/>
      <w:szCs w:val="24"/>
      <w:lang w:val="en-GB" w:eastAsia="en-GB"/>
    </w:rPr>
  </w:style>
  <w:style w:type="character" w:customStyle="1" w:styleId="apple-converted-space">
    <w:name w:val="apple-converted-space"/>
    <w:basedOn w:val="Domylnaczcionkaakapitu"/>
    <w:rsid w:val="0045781D"/>
  </w:style>
  <w:style w:type="character" w:styleId="HTML-kod">
    <w:name w:val="HTML Code"/>
    <w:basedOn w:val="Domylnaczcionkaakapitu"/>
    <w:uiPriority w:val="99"/>
    <w:semiHidden/>
    <w:unhideWhenUsed/>
    <w:rsid w:val="0045781D"/>
    <w:rPr>
      <w:rFonts w:ascii="Courier New" w:eastAsia="Times New Roman" w:hAnsi="Courier New" w:cs="Courier New"/>
      <w:sz w:val="20"/>
      <w:szCs w:val="20"/>
    </w:rPr>
  </w:style>
  <w:style w:type="character" w:styleId="Pogrubienie">
    <w:name w:val="Strong"/>
    <w:basedOn w:val="Domylnaczcionkaakapitu"/>
    <w:uiPriority w:val="22"/>
    <w:qFormat/>
    <w:rsid w:val="0045781D"/>
    <w:rPr>
      <w:b/>
      <w:bCs/>
    </w:rPr>
  </w:style>
  <w:style w:type="character" w:customStyle="1" w:styleId="Nagwek3Znak">
    <w:name w:val="Nagłówek 3 Znak"/>
    <w:basedOn w:val="Domylnaczcionkaakapitu"/>
    <w:link w:val="Nagwek3"/>
    <w:uiPriority w:val="9"/>
    <w:semiHidden/>
    <w:rsid w:val="00D93C7D"/>
    <w:rPr>
      <w:rFonts w:asciiTheme="majorHAnsi" w:eastAsiaTheme="majorEastAsia" w:hAnsiTheme="majorHAnsi" w:cstheme="majorBidi"/>
      <w:b/>
      <w:bCs/>
      <w:color w:val="4F81BD" w:themeColor="accent1"/>
      <w:lang w:val="pl-PL" w:eastAsia="pl-PL"/>
    </w:rPr>
  </w:style>
  <w:style w:type="character" w:customStyle="1" w:styleId="mw-headline">
    <w:name w:val="mw-headline"/>
    <w:basedOn w:val="Domylnaczcionkaakapitu"/>
    <w:rsid w:val="00D93C7D"/>
  </w:style>
  <w:style w:type="character" w:customStyle="1" w:styleId="editsection">
    <w:name w:val="editsection"/>
    <w:basedOn w:val="Domylnaczcionkaakapitu"/>
    <w:rsid w:val="00D93C7D"/>
  </w:style>
  <w:style w:type="table" w:styleId="Tabela-Siatka">
    <w:name w:val="Table Grid"/>
    <w:basedOn w:val="Standardowy"/>
    <w:uiPriority w:val="59"/>
    <w:rsid w:val="0028261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kstzastpczy">
    <w:name w:val="Placeholder Text"/>
    <w:basedOn w:val="Domylnaczcionkaakapitu"/>
    <w:uiPriority w:val="99"/>
    <w:semiHidden/>
    <w:rsid w:val="00282618"/>
    <w:rPr>
      <w:color w:val="808080"/>
    </w:rPr>
  </w:style>
  <w:style w:type="character" w:styleId="Odwoaniedokomentarza">
    <w:name w:val="annotation reference"/>
    <w:basedOn w:val="Domylnaczcionkaakapitu"/>
    <w:uiPriority w:val="99"/>
    <w:semiHidden/>
    <w:unhideWhenUsed/>
    <w:rsid w:val="00F72FC1"/>
    <w:rPr>
      <w:sz w:val="16"/>
      <w:szCs w:val="16"/>
    </w:rPr>
  </w:style>
  <w:style w:type="paragraph" w:styleId="Tekstkomentarza">
    <w:name w:val="annotation text"/>
    <w:basedOn w:val="Normalny"/>
    <w:link w:val="TekstkomentarzaZnak"/>
    <w:uiPriority w:val="99"/>
    <w:unhideWhenUsed/>
    <w:rsid w:val="00F72FC1"/>
    <w:pPr>
      <w:spacing w:line="240" w:lineRule="auto"/>
    </w:pPr>
  </w:style>
  <w:style w:type="character" w:customStyle="1" w:styleId="TekstkomentarzaZnak">
    <w:name w:val="Tekst komentarza Znak"/>
    <w:basedOn w:val="Domylnaczcionkaakapitu"/>
    <w:link w:val="Tekstkomentarza"/>
    <w:uiPriority w:val="99"/>
    <w:rsid w:val="00F72FC1"/>
    <w:rPr>
      <w:lang w:val="pl-PL" w:eastAsia="pl-PL"/>
    </w:rPr>
  </w:style>
  <w:style w:type="paragraph" w:styleId="Tematkomentarza">
    <w:name w:val="annotation subject"/>
    <w:basedOn w:val="Tekstkomentarza"/>
    <w:next w:val="Tekstkomentarza"/>
    <w:link w:val="TematkomentarzaZnak"/>
    <w:uiPriority w:val="99"/>
    <w:semiHidden/>
    <w:unhideWhenUsed/>
    <w:rsid w:val="00F72FC1"/>
    <w:rPr>
      <w:b/>
      <w:bCs/>
    </w:rPr>
  </w:style>
  <w:style w:type="character" w:customStyle="1" w:styleId="TematkomentarzaZnak">
    <w:name w:val="Temat komentarza Znak"/>
    <w:basedOn w:val="TekstkomentarzaZnak"/>
    <w:link w:val="Tematkomentarza"/>
    <w:uiPriority w:val="99"/>
    <w:semiHidden/>
    <w:rsid w:val="00F72FC1"/>
    <w:rPr>
      <w:b/>
      <w:bCs/>
      <w:lang w:val="pl-PL" w:eastAsia="pl-PL"/>
    </w:rPr>
  </w:style>
  <w:style w:type="paragraph" w:customStyle="1" w:styleId="NoINDENT0">
    <w:name w:val="No_INDENT"/>
    <w:basedOn w:val="Normalny"/>
    <w:link w:val="NoINDENTChar"/>
    <w:qFormat/>
    <w:rsid w:val="00187B1C"/>
    <w:pPr>
      <w:spacing w:before="0" w:after="0"/>
      <w:ind w:firstLine="0"/>
    </w:pPr>
  </w:style>
  <w:style w:type="character" w:customStyle="1" w:styleId="NoINDENTChar">
    <w:name w:val="No_INDENT Char"/>
    <w:basedOn w:val="Domylnaczcionkaakapitu"/>
    <w:link w:val="NoINDENT0"/>
    <w:rsid w:val="00187B1C"/>
    <w:rPr>
      <w:lang w:val="pl-PL" w:eastAsia="pl-PL"/>
    </w:rPr>
  </w:style>
  <w:style w:type="character" w:customStyle="1" w:styleId="EquationChar">
    <w:name w:val="Equation Char"/>
    <w:basedOn w:val="Domylnaczcionkaakapitu"/>
    <w:link w:val="Equation"/>
    <w:rsid w:val="00187B1C"/>
    <w:rPr>
      <w:lang w:val="pl-PL" w:eastAsia="pl-PL"/>
    </w:rPr>
  </w:style>
  <w:style w:type="paragraph" w:customStyle="1" w:styleId="Paragraph">
    <w:name w:val="Paragraph"/>
    <w:basedOn w:val="Normalny"/>
    <w:rsid w:val="006E2F8F"/>
    <w:pPr>
      <w:spacing w:before="0" w:after="0" w:line="240" w:lineRule="auto"/>
      <w:ind w:firstLine="284"/>
    </w:pPr>
    <w:rPr>
      <w:lang w:val="en-US" w:eastAsia="en-US"/>
    </w:rPr>
  </w:style>
  <w:style w:type="paragraph" w:customStyle="1" w:styleId="MIAEEAuthor">
    <w:name w:val="MIAEE_Author"/>
    <w:basedOn w:val="Normalny"/>
    <w:link w:val="MIAEEAuthorZnak"/>
    <w:qFormat/>
    <w:rsid w:val="00A31CF9"/>
    <w:pPr>
      <w:autoSpaceDE w:val="0"/>
      <w:autoSpaceDN w:val="0"/>
      <w:adjustRightInd w:val="0"/>
      <w:spacing w:before="0" w:after="0" w:line="240" w:lineRule="auto"/>
      <w:ind w:firstLine="0"/>
      <w:contextualSpacing/>
    </w:pPr>
    <w:rPr>
      <w:rFonts w:ascii="TimesNewRoman,Italic" w:eastAsiaTheme="minorHAnsi" w:hAnsi="TimesNewRoman,Italic" w:cs="TimesNewRoman,Italic"/>
      <w:i/>
      <w:iCs/>
      <w:sz w:val="21"/>
      <w:szCs w:val="21"/>
      <w:lang w:val="en-GB" w:eastAsia="en-US"/>
    </w:rPr>
  </w:style>
  <w:style w:type="character" w:customStyle="1" w:styleId="MIAEEAuthorZnak">
    <w:name w:val="MIAEE_Author Znak"/>
    <w:basedOn w:val="Domylnaczcionkaakapitu"/>
    <w:link w:val="MIAEEAuthor"/>
    <w:rsid w:val="00A31CF9"/>
    <w:rPr>
      <w:rFonts w:ascii="TimesNewRoman,Italic" w:eastAsiaTheme="minorHAnsi" w:hAnsi="TimesNewRoman,Italic" w:cs="TimesNewRoman,Italic"/>
      <w:i/>
      <w:iCs/>
      <w:sz w:val="21"/>
      <w:szCs w:val="21"/>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4593216">
      <w:bodyDiv w:val="1"/>
      <w:marLeft w:val="0"/>
      <w:marRight w:val="0"/>
      <w:marTop w:val="0"/>
      <w:marBottom w:val="0"/>
      <w:divBdr>
        <w:top w:val="none" w:sz="0" w:space="0" w:color="auto"/>
        <w:left w:val="none" w:sz="0" w:space="0" w:color="auto"/>
        <w:bottom w:val="none" w:sz="0" w:space="0" w:color="auto"/>
        <w:right w:val="none" w:sz="0" w:space="0" w:color="auto"/>
      </w:divBdr>
    </w:div>
    <w:div w:id="450244013">
      <w:bodyDiv w:val="1"/>
      <w:marLeft w:val="0"/>
      <w:marRight w:val="0"/>
      <w:marTop w:val="0"/>
      <w:marBottom w:val="0"/>
      <w:divBdr>
        <w:top w:val="none" w:sz="0" w:space="0" w:color="auto"/>
        <w:left w:val="none" w:sz="0" w:space="0" w:color="auto"/>
        <w:bottom w:val="none" w:sz="0" w:space="0" w:color="auto"/>
        <w:right w:val="none" w:sz="0" w:space="0" w:color="auto"/>
      </w:divBdr>
    </w:div>
    <w:div w:id="726803818">
      <w:bodyDiv w:val="1"/>
      <w:marLeft w:val="0"/>
      <w:marRight w:val="0"/>
      <w:marTop w:val="0"/>
      <w:marBottom w:val="0"/>
      <w:divBdr>
        <w:top w:val="none" w:sz="0" w:space="0" w:color="auto"/>
        <w:left w:val="none" w:sz="0" w:space="0" w:color="auto"/>
        <w:bottom w:val="none" w:sz="0" w:space="0" w:color="auto"/>
        <w:right w:val="none" w:sz="0" w:space="0" w:color="auto"/>
      </w:divBdr>
    </w:div>
    <w:div w:id="932396151">
      <w:bodyDiv w:val="1"/>
      <w:marLeft w:val="0"/>
      <w:marRight w:val="0"/>
      <w:marTop w:val="0"/>
      <w:marBottom w:val="0"/>
      <w:divBdr>
        <w:top w:val="none" w:sz="0" w:space="0" w:color="auto"/>
        <w:left w:val="none" w:sz="0" w:space="0" w:color="auto"/>
        <w:bottom w:val="none" w:sz="0" w:space="0" w:color="auto"/>
        <w:right w:val="none" w:sz="0" w:space="0" w:color="auto"/>
      </w:divBdr>
    </w:div>
    <w:div w:id="1077630722">
      <w:bodyDiv w:val="1"/>
      <w:marLeft w:val="0"/>
      <w:marRight w:val="0"/>
      <w:marTop w:val="0"/>
      <w:marBottom w:val="0"/>
      <w:divBdr>
        <w:top w:val="none" w:sz="0" w:space="0" w:color="auto"/>
        <w:left w:val="none" w:sz="0" w:space="0" w:color="auto"/>
        <w:bottom w:val="none" w:sz="0" w:space="0" w:color="auto"/>
        <w:right w:val="none" w:sz="0" w:space="0" w:color="auto"/>
      </w:divBdr>
    </w:div>
    <w:div w:id="1204252012">
      <w:bodyDiv w:val="1"/>
      <w:marLeft w:val="0"/>
      <w:marRight w:val="0"/>
      <w:marTop w:val="0"/>
      <w:marBottom w:val="0"/>
      <w:divBdr>
        <w:top w:val="none" w:sz="0" w:space="0" w:color="auto"/>
        <w:left w:val="none" w:sz="0" w:space="0" w:color="auto"/>
        <w:bottom w:val="none" w:sz="0" w:space="0" w:color="auto"/>
        <w:right w:val="none" w:sz="0" w:space="0" w:color="auto"/>
      </w:divBdr>
    </w:div>
    <w:div w:id="1437285926">
      <w:bodyDiv w:val="1"/>
      <w:marLeft w:val="0"/>
      <w:marRight w:val="0"/>
      <w:marTop w:val="0"/>
      <w:marBottom w:val="0"/>
      <w:divBdr>
        <w:top w:val="none" w:sz="0" w:space="0" w:color="auto"/>
        <w:left w:val="none" w:sz="0" w:space="0" w:color="auto"/>
        <w:bottom w:val="none" w:sz="0" w:space="0" w:color="auto"/>
        <w:right w:val="none" w:sz="0" w:space="0" w:color="auto"/>
      </w:divBdr>
      <w:divsChild>
        <w:div w:id="706487267">
          <w:marLeft w:val="336"/>
          <w:marRight w:val="0"/>
          <w:marTop w:val="120"/>
          <w:marBottom w:val="312"/>
          <w:divBdr>
            <w:top w:val="none" w:sz="0" w:space="0" w:color="auto"/>
            <w:left w:val="none" w:sz="0" w:space="0" w:color="auto"/>
            <w:bottom w:val="none" w:sz="0" w:space="0" w:color="auto"/>
            <w:right w:val="none" w:sz="0" w:space="0" w:color="auto"/>
          </w:divBdr>
          <w:divsChild>
            <w:div w:id="850995397">
              <w:marLeft w:val="0"/>
              <w:marRight w:val="0"/>
              <w:marTop w:val="0"/>
              <w:marBottom w:val="0"/>
              <w:divBdr>
                <w:top w:val="single" w:sz="6" w:space="0" w:color="CCCCCC"/>
                <w:left w:val="single" w:sz="6" w:space="0" w:color="CCCCCC"/>
                <w:bottom w:val="single" w:sz="6" w:space="0" w:color="CCCCCC"/>
                <w:right w:val="single" w:sz="6" w:space="0" w:color="CCCCCC"/>
              </w:divBdr>
              <w:divsChild>
                <w:div w:id="1801682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98420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microsoft.com/office/2011/relationships/commentsExtended" Target="commentsExtended.xml"/><Relationship Id="rId13" Type="http://schemas.openxmlformats.org/officeDocument/2006/relationships/image" Target="media/image3.png"/><Relationship Id="rId18" Type="http://schemas.openxmlformats.org/officeDocument/2006/relationships/footer" Target="footer2.xml"/><Relationship Id="rId3" Type="http://schemas.openxmlformats.org/officeDocument/2006/relationships/settings" Target="settings.xml"/><Relationship Id="rId21" Type="http://schemas.microsoft.com/office/2011/relationships/people" Target="people.xml"/><Relationship Id="rId7" Type="http://schemas.openxmlformats.org/officeDocument/2006/relationships/comments" Target="comments.xml"/><Relationship Id="rId12" Type="http://schemas.openxmlformats.org/officeDocument/2006/relationships/image" Target="media/image2.png"/><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1.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1.png"/><Relationship Id="rId5" Type="http://schemas.openxmlformats.org/officeDocument/2006/relationships/footnotes" Target="footnotes.xml"/><Relationship Id="rId15" Type="http://schemas.openxmlformats.org/officeDocument/2006/relationships/image" Target="media/image5.png"/><Relationship Id="rId10" Type="http://schemas.microsoft.com/office/2018/08/relationships/commentsExtensible" Target="commentsExtensible.xml"/><Relationship Id="rId19" Type="http://schemas.openxmlformats.org/officeDocument/2006/relationships/header" Target="header2.xml"/><Relationship Id="rId4" Type="http://schemas.openxmlformats.org/officeDocument/2006/relationships/webSettings" Target="webSettings.xml"/><Relationship Id="rId9" Type="http://schemas.microsoft.com/office/2016/09/relationships/commentsIds" Target="commentsIds.xml"/><Relationship Id="rId14" Type="http://schemas.openxmlformats.org/officeDocument/2006/relationships/image" Target="media/image4.png"/><Relationship Id="rId22"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Apps\Microsoft%20Office\Templates\1045\szablon.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szablon</Template>
  <TotalTime>117</TotalTime>
  <Pages>1</Pages>
  <Words>2533</Words>
  <Characters>15201</Characters>
  <Application>Microsoft Office Word</Application>
  <DocSecurity>0</DocSecurity>
  <Lines>126</Lines>
  <Paragraphs>35</Paragraphs>
  <ScaleCrop>false</ScaleCrop>
  <HeadingPairs>
    <vt:vector size="2" baseType="variant">
      <vt:variant>
        <vt:lpstr>Tytuł</vt:lpstr>
      </vt:variant>
      <vt:variant>
        <vt:i4>1</vt:i4>
      </vt:variant>
    </vt:vector>
  </HeadingPairs>
  <TitlesOfParts>
    <vt:vector size="1" baseType="lpstr">
      <vt:lpstr>szablon artykułu na konferencję AGH</vt:lpstr>
    </vt:vector>
  </TitlesOfParts>
  <Manager>Wydawnictwa AGH</Manager>
  <Company>BrainStorm Operations; E-mail brainstorm@pnet.com.pl</Company>
  <LinksUpToDate>false</LinksUpToDate>
  <CharactersWithSpaces>17699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szablon artykułu na konferencję AGH</dc:title>
  <dc:subject>wzór artykułu na Konferencję</dc:subject>
  <dc:creator>Krzysztof Kołek</dc:creator>
  <cp:lastModifiedBy>Joanna Ciągała</cp:lastModifiedBy>
  <cp:revision>15</cp:revision>
  <cp:lastPrinted>2012-08-02T10:26:00Z</cp:lastPrinted>
  <dcterms:created xsi:type="dcterms:W3CDTF">2017-01-10T12:49:00Z</dcterms:created>
  <dcterms:modified xsi:type="dcterms:W3CDTF">2022-06-27T11:26:00Z</dcterms:modified>
</cp:coreProperties>
</file>