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100DB2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F92B15" w:rsidRPr="00F92B15">
        <w:rPr>
          <w:rFonts w:ascii="Arial" w:eastAsia="Calibri" w:hAnsi="Arial" w:cs="Arial"/>
          <w:b/>
          <w:bCs/>
          <w:sz w:val="21"/>
          <w:szCs w:val="21"/>
        </w:rPr>
        <w:t>Dostawa zestawu analizatora elektrochemicznego z pełnym wyposażeniem, oprogramowaniem sterującym oraz interpretacyjnym i statywem elektrodowym - KC-zp.272-267/22</w:t>
      </w:r>
      <w:r w:rsidR="00F92B15" w:rsidRPr="00F92B15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793234"/>
    <w:rsid w:val="008006FA"/>
    <w:rsid w:val="008454CD"/>
    <w:rsid w:val="00B271E6"/>
    <w:rsid w:val="00DE4995"/>
    <w:rsid w:val="00F9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4911</Characters>
  <Application>Microsoft Office Word</Application>
  <DocSecurity>0</DocSecurity>
  <Lines>40</Lines>
  <Paragraphs>11</Paragraphs>
  <ScaleCrop>false</ScaleCrop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2022-05-13T07:59:00Z</dcterms:created>
  <dcterms:modified xsi:type="dcterms:W3CDTF">2022-05-13T07:59:00Z</dcterms:modified>
</cp:coreProperties>
</file>