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65285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58833C" w14:textId="361DE2E6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Opis przedmiotu zamówienia</w:t>
      </w:r>
    </w:p>
    <w:p w14:paraId="5AAF5409" w14:textId="77777777" w:rsidR="00AE1FD8" w:rsidRPr="00AE1FD8" w:rsidRDefault="00AE1FD8" w:rsidP="00AE1FD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x-none" w:eastAsia="x-none"/>
        </w:rPr>
      </w:pPr>
      <w:r w:rsidRPr="00AE1FD8">
        <w:rPr>
          <w:rFonts w:ascii="Arial" w:eastAsia="Times New Roman" w:hAnsi="Arial" w:cs="Arial"/>
          <w:b/>
          <w:sz w:val="24"/>
          <w:szCs w:val="24"/>
          <w:lang w:val="x-none" w:eastAsia="x-none"/>
        </w:rPr>
        <w:t>Dostawa spektrometru FTIR z wyposażeniem</w:t>
      </w:r>
    </w:p>
    <w:p w14:paraId="1337C2CD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</w:p>
    <w:p w14:paraId="5D38EAAB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AE1FD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Przedmiotem zamówienia jest dostawa urządzenia do badania materiałów, cieczy i gazów metoda FTIR wraz z wyposażeniem umożliwiającym wykonywanie wymienionych analiz. </w:t>
      </w:r>
    </w:p>
    <w:p w14:paraId="6B8F84CD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AE1FD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Głównym przeznaczeniem będzie wykonywanie badań w odbiciu metoda ATR tworzyw sztucznych, ale również ich pochodnych i składowych substancji (monomery) oraz innych substancji wchodzących w skład polimerów. </w:t>
      </w:r>
    </w:p>
    <w:p w14:paraId="7BE68EC6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14:paraId="57004E1F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  <w:r w:rsidRPr="00AE1FD8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Parametry techniczne oraz funkcjonalne przedmiotu zamówienia:</w:t>
      </w:r>
    </w:p>
    <w:p w14:paraId="41C1CF68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  <w:r w:rsidRPr="00AE1FD8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Spektrometr FTIR </w:t>
      </w:r>
    </w:p>
    <w:p w14:paraId="433EA1F2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Zakres spektralny, co najmniej  7 800 – 350 cm</w:t>
      </w:r>
      <w:r w:rsidRPr="00AE1FD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-1</w:t>
      </w:r>
    </w:p>
    <w:p w14:paraId="54D7A099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Maksymalna rozdzielczość optyczna lepsza niż 0.5 cm</w:t>
      </w:r>
      <w:r w:rsidRPr="00AE1FD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-1</w:t>
      </w:r>
    </w:p>
    <w:p w14:paraId="6F38E5B2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Zakres dynamiczny przetwornika ADC - 24 bity</w:t>
      </w:r>
    </w:p>
    <w:p w14:paraId="74D0CEE1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Szczelny i osuszany układ optyczny z okienkami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KBr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pokrywanymi BaF</w:t>
      </w:r>
      <w:r w:rsidRPr="00AE1FD8"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>2</w:t>
      </w: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oddzielającymi optykę od przedziału próbek</w:t>
      </w:r>
    </w:p>
    <w:p w14:paraId="099D7944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Podłączenia do opcjonalnego przedmuchu spektrometru i przedziału próbek osuszonym gazem </w:t>
      </w:r>
    </w:p>
    <w:p w14:paraId="7941CBFD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Szumy mniejsze niż 1,25x10</w:t>
      </w:r>
      <w:r w:rsidRPr="00AE1FD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-5</w:t>
      </w: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Abs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 ("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peak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-to-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peak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", pomiar do 1 minuty przy rozdzielczości 4cm</w:t>
      </w:r>
      <w:r w:rsidRPr="00AE1FD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-1</w:t>
      </w: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detektor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DLaTGS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14:paraId="6C3BA224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Interferometr justowany dynamicznie w trakcie skanowania. </w:t>
      </w:r>
    </w:p>
    <w:p w14:paraId="46C83B62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Układ optyczny wykorzystujący monolityczne lustra wzorcowe </w:t>
      </w:r>
    </w:p>
    <w:p w14:paraId="0A9B05A2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Ogniskowanie wiązki centralnie w  komorze pomiarowej aparatu</w:t>
      </w:r>
    </w:p>
    <w:p w14:paraId="7833C1F5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Ceramiczne źródło promieniowania IR</w:t>
      </w:r>
    </w:p>
    <w:p w14:paraId="74A4D75A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val="de-DE" w:eastAsia="pl-PL"/>
        </w:rPr>
      </w:pPr>
      <w:proofErr w:type="spellStart"/>
      <w:r w:rsidRPr="00AE1FD8">
        <w:rPr>
          <w:rFonts w:ascii="Arial" w:eastAsia="Times New Roman" w:hAnsi="Arial" w:cs="Arial"/>
          <w:sz w:val="24"/>
          <w:szCs w:val="24"/>
          <w:lang w:val="de-DE" w:eastAsia="pl-PL"/>
        </w:rPr>
        <w:t>Beamsplitter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val="de-DE" w:eastAsia="pl-PL"/>
        </w:rPr>
        <w:t xml:space="preserve"> Ge/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val="de-DE" w:eastAsia="pl-PL"/>
        </w:rPr>
        <w:t>KBr</w:t>
      </w:r>
      <w:proofErr w:type="spellEnd"/>
    </w:p>
    <w:p w14:paraId="72E68191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Laser półprzewodnikowy o stabilnej długości fali promieniowania zapewniający precyzję liczb falowych nie gorszą niż +/- 0,001 cm</w:t>
      </w:r>
      <w:r w:rsidRPr="00AE1FD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-1</w:t>
      </w:r>
    </w:p>
    <w:p w14:paraId="10058AD8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Komunikacja spektrometru z komputerem przez złącze USB 2.0/3.0</w:t>
      </w:r>
    </w:p>
    <w:p w14:paraId="3FAC3AFD" w14:textId="08879D8C" w:rsid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System osuszania optyki z wkładami osuszającymi w metalowej obudowie z możliwością regeneracji w suszarce. Wymiana wkładów osuszających bez zdejmowania obudowy aparatu. Wskaźnik poziomu wilgotności na wierzchu aparatu. Nie dopuszcza się systemów osuszania wymagających podłączenia aparatu do sieci elektrycznej.</w:t>
      </w:r>
    </w:p>
    <w:p w14:paraId="55B3C545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5FD06E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Automatyczne testowanie spektrometru w oparciu o wzorzec polistyrenowy PS</w:t>
      </w:r>
    </w:p>
    <w:p w14:paraId="6FCBE19A" w14:textId="77777777" w:rsidR="00AE1FD8" w:rsidRPr="00AE1FD8" w:rsidRDefault="00AE1FD8" w:rsidP="00AE1FD8">
      <w:pPr>
        <w:numPr>
          <w:ilvl w:val="0"/>
          <w:numId w:val="1"/>
        </w:numPr>
        <w:tabs>
          <w:tab w:val="num" w:pos="567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Wyposażenie do pomiarów transmisyjnych obejmujące minimum uchwyt magnetyczny do folii polimerowych oraz kuwetę gazową o długości drogi optycznej min. 10 cm montowanej w przystawce pomiarowej do pomiarów transmisyjnych, wyposażonej w okienka BaF2 oraz standardowe akcesoria transmisyjne</w:t>
      </w:r>
    </w:p>
    <w:p w14:paraId="7B9AC262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Wysokociśnieniowa przystawka ATR do szybkiego pomiaru próbek z litym kryształem diamentowym pokrywającym pełnym zakres spektralny spektrometru. Przystawka wyposażona w odchylane urządzenie dociskowe o powtarzalnej sile docisku z mechanizmem dynamometrycznym, automatycznie rozpoznawana przez spektrometr. Przystawka powtarzalnie mocowana w przedziale pomiarowym i integrująca się z obudową spektrometru - po założeniu uszczelniająca drogę optyczną i jednocześnie włączona w system przedmuchu</w:t>
      </w:r>
    </w:p>
    <w:p w14:paraId="7B202A1A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Możliwość rozbudowy o interfejs TGA-IR, umożliwiający sprzężenie z analizatorem TGA, obejmujący grzaną kapilarę transferową oraz kuwetę gazową o długości drogi optycznej co najmniej 10 cm (opcja nie jest przedmiotem zamówienia)</w:t>
      </w:r>
    </w:p>
    <w:p w14:paraId="1BFC1511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Kompletny zestaw do wykonywania pastylek ciał stałych z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KBr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obejmujący: - ręczną praskę hydrauliczną na zakres co najmniej 2 ton, moździerz agatowy z tłuczkiem, kompletną pastylkarkę do przygotowania pastylek o średnicy </w:t>
      </w:r>
      <w:smartTag w:uri="urn:schemas-microsoft-com:office:smarttags" w:element="metricconverter">
        <w:smartTagPr>
          <w:attr w:name="ProductID" w:val="7 mm"/>
        </w:smartTagPr>
        <w:r w:rsidRPr="00AE1FD8">
          <w:rPr>
            <w:rFonts w:ascii="Arial" w:eastAsia="Times New Roman" w:hAnsi="Arial" w:cs="Arial"/>
            <w:sz w:val="24"/>
            <w:szCs w:val="24"/>
            <w:lang w:eastAsia="pl-PL"/>
          </w:rPr>
          <w:t>7 mm</w:t>
        </w:r>
      </w:smartTag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2 zapasowe pierścienie, proszek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KBr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50g, uchwyt do mocowania pastylek w spektrometrze</w:t>
      </w:r>
    </w:p>
    <w:p w14:paraId="30C0FD20" w14:textId="77777777" w:rsidR="00AE1FD8" w:rsidRPr="00AE1FD8" w:rsidRDefault="00AE1FD8" w:rsidP="00AE1FD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Sterowanie przez zewnętrzny komputer PC pracujący w systemie Windows. Program obsługi spektrometru co najmniej w języku polskim i angielskim kompatybilny z Windows 7/8/10 64-bit. Automatyczny wybór wersji językowej przy logowaniu do Windows i przez wybór opcji regionalnych w panelu sterowania Windows. Musi zapewniać: </w:t>
      </w:r>
    </w:p>
    <w:p w14:paraId="76BB8731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logowanie użytkowników z hasłami i różnymi poziomami dostępu,</w:t>
      </w:r>
    </w:p>
    <w:p w14:paraId="133E6973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funkcja automatycznego doboru wzmocnienia sygnału</w:t>
      </w:r>
    </w:p>
    <w:p w14:paraId="5C6023FD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funkcje wykonywania eksperymentów i analizy danych we wszystkich rodzajach eksperymentów</w:t>
      </w:r>
    </w:p>
    <w:p w14:paraId="6F517820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możliwość ustawiania zaawansowanych parametrów pomiarowych - funkcji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apodyzacji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(co najmniej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Happ-Genzel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Beer-Norton,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Blackman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-Harris,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Boxcar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Triangle,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Cosine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),  korekcji fazy (Mertz, Power,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deHaseth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), wypełniania zerami (0, 1x, 2x), cyfrowych filtrów górnoprzepustowych i dolnoprzepustowych</w:t>
      </w:r>
    </w:p>
    <w:p w14:paraId="237A4DF3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podgląd widm zapisanych na dysku przed ich otwarciem (jak podgląd dokumentów w pakiecie Office)</w:t>
      </w:r>
    </w:p>
    <w:p w14:paraId="260D3387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dostęp do surowych danych łącznie z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interferogramem</w:t>
      </w:r>
      <w:proofErr w:type="spellEnd"/>
    </w:p>
    <w:p w14:paraId="637E8A1F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funkcje przetwarzania widm: korekcja linii bazowej – automatyczna i manualna,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dekonwolucja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odejmowanie spektralne, wyznaczanie pochodnych, znajdowanie maksimów, wygładzanie, transformacja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Kramersa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Kroniga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, korekcja ATR,  pomiar wysokości i położenia pasma, pomiar pola powierzchni pasm - bezwzględnej i względnej</w:t>
      </w:r>
    </w:p>
    <w:p w14:paraId="0885BD6D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funkcja rozkładu pasm na składowe z algorytmem konwergencji typu Fletcher-Powell-McCormick, uwzględniająca co najmniej następujące typy pasm: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Gaussian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Lorentzian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mieszany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Gaussian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>/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Lorentzian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Voigt</w:t>
      </w:r>
      <w:proofErr w:type="spellEnd"/>
    </w:p>
    <w:p w14:paraId="0DC0C33C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przeszukiwanie bibliotek w celu identyfikacji widma nieznanej próbki oraz/lub porównania z widmem wzorca</w:t>
      </w:r>
    </w:p>
    <w:p w14:paraId="370E96F6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tworzenie własnych bibliotek użytkownika, </w:t>
      </w:r>
    </w:p>
    <w:p w14:paraId="45C21DC1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biblioteki widm obejmujące co najmniej 8 000 widm związków organicznych, nieorganicznych, polimerów oraz widm w fazie gazowej </w:t>
      </w:r>
    </w:p>
    <w:p w14:paraId="42FC4C68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możliwość odtwarzania podprogramów/makroinstrukcji do automatycznego wykonywania zadań wybranych przez użytkownika,</w:t>
      </w:r>
    </w:p>
    <w:p w14:paraId="640BFCB5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moduł spektralnej interpretacji widm,</w:t>
      </w:r>
    </w:p>
    <w:p w14:paraId="3AEA9E2C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color w:val="3366FF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automatyczna korekcja zawartości CO</w:t>
      </w:r>
      <w:r w:rsidRPr="00AE1FD8"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>2</w:t>
      </w: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i pary wodnej przez oprogramowanie bez konieczności zbierania widm referencyjnych</w:t>
      </w:r>
    </w:p>
    <w:p w14:paraId="55C2BF78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wyświetlanie widm w czasie rzeczywistym (w trakcie pomiaru),</w:t>
      </w:r>
    </w:p>
    <w:p w14:paraId="2B38555B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automatyczne wykonywanie testów jakości widm z informowaniem użytkownika m.in. o niepożądanych pasmach spektralnych w widmie tła, nieprawidłowym kształcie pasm, obecności pasm całkowicie absorbujących, nachyleniu linii podstawowej, zbyt małej energii </w:t>
      </w:r>
      <w:proofErr w:type="spellStart"/>
      <w:r w:rsidRPr="00AE1FD8">
        <w:rPr>
          <w:rFonts w:ascii="Arial" w:eastAsia="Times New Roman" w:hAnsi="Arial" w:cs="Arial"/>
          <w:sz w:val="24"/>
          <w:szCs w:val="24"/>
          <w:lang w:eastAsia="pl-PL"/>
        </w:rPr>
        <w:t>interferogramu</w:t>
      </w:r>
      <w:proofErr w:type="spellEnd"/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2B2F5A14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wbudowany edytor do tworzenia raportów według własnych szablonów, </w:t>
      </w:r>
    </w:p>
    <w:p w14:paraId="529F78D2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archiwizowanie gotowych raportów w nieedytowalnych skoroszytach elektronicznych z funkcją przeszukiwania skoroszytów umożliwiającą szybkie dotarcie do każdego raportu</w:t>
      </w:r>
    </w:p>
    <w:p w14:paraId="4AEAFC09" w14:textId="77777777" w:rsidR="00AE1FD8" w:rsidRPr="00AE1FD8" w:rsidRDefault="00AE1FD8" w:rsidP="00AE1FD8">
      <w:pPr>
        <w:numPr>
          <w:ilvl w:val="1"/>
          <w:numId w:val="3"/>
        </w:numPr>
        <w:tabs>
          <w:tab w:val="num" w:pos="1134"/>
        </w:tabs>
        <w:spacing w:after="0" w:line="360" w:lineRule="auto"/>
        <w:ind w:left="113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moduł rozszerzonej analizy widm obejmujący algorytm jednoczesnej wieloskładnikowej identyfikacji widm, pozwalający na identyfikację składników próbki w trakcie pojedynczego przeszukiwania biblioteki, bez konieczności stosowania odejmowania widm poszczególnych składników</w:t>
      </w:r>
    </w:p>
    <w:p w14:paraId="33D3C6C1" w14:textId="2A66DE43" w:rsidR="00AE1FD8" w:rsidRDefault="00AE1FD8" w:rsidP="00AE1F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697C51" w14:textId="77777777" w:rsidR="00AE1FD8" w:rsidRPr="00AE1FD8" w:rsidRDefault="00AE1FD8" w:rsidP="00AE1F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1F76B4" w14:textId="77777777" w:rsidR="00AE1FD8" w:rsidRPr="00AE1FD8" w:rsidRDefault="00AE1FD8" w:rsidP="00AE1FD8">
      <w:pPr>
        <w:numPr>
          <w:ilvl w:val="0"/>
          <w:numId w:val="2"/>
        </w:numPr>
        <w:tabs>
          <w:tab w:val="num" w:pos="567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Urządzenie musi posiadać certyfikat CE</w:t>
      </w:r>
    </w:p>
    <w:p w14:paraId="57AD6858" w14:textId="77777777" w:rsidR="00AE1FD8" w:rsidRPr="00AE1FD8" w:rsidRDefault="00AE1FD8" w:rsidP="00AE1FD8">
      <w:pPr>
        <w:numPr>
          <w:ilvl w:val="0"/>
          <w:numId w:val="2"/>
        </w:numPr>
        <w:tabs>
          <w:tab w:val="num" w:pos="567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W cenie należy uwzględnić koszty dostawy, instalacji, uruchomienia i szkolenia</w:t>
      </w:r>
    </w:p>
    <w:p w14:paraId="7ECF463D" w14:textId="2DF8EDF4" w:rsidR="00AE1FD8" w:rsidRPr="00AE1FD8" w:rsidRDefault="00AE1FD8" w:rsidP="00AE1FD8">
      <w:pPr>
        <w:numPr>
          <w:ilvl w:val="0"/>
          <w:numId w:val="2"/>
        </w:numPr>
        <w:tabs>
          <w:tab w:val="num" w:pos="567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FD8">
        <w:rPr>
          <w:rFonts w:ascii="Arial" w:eastAsia="Times New Roman" w:hAnsi="Arial" w:cs="Arial"/>
          <w:sz w:val="24"/>
          <w:szCs w:val="24"/>
          <w:lang w:eastAsia="pl-PL"/>
        </w:rPr>
        <w:t>Gwarancja minimum: 12 miesięcy na urządzenie, 2 lata na źródło IR, 4 lat</w:t>
      </w:r>
      <w:r w:rsidR="00F1337B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AE1FD8">
        <w:rPr>
          <w:rFonts w:ascii="Arial" w:eastAsia="Times New Roman" w:hAnsi="Arial" w:cs="Arial"/>
          <w:sz w:val="24"/>
          <w:szCs w:val="24"/>
          <w:lang w:eastAsia="pl-PL"/>
        </w:rPr>
        <w:t xml:space="preserve"> na interferometr i kryształ diamentu w przystawce ATR</w:t>
      </w:r>
      <w:bookmarkStart w:id="0" w:name="_GoBack"/>
      <w:bookmarkEnd w:id="0"/>
    </w:p>
    <w:p w14:paraId="739294C6" w14:textId="77777777" w:rsidR="003F41CB" w:rsidRPr="00AE1FD8" w:rsidRDefault="003F41CB" w:rsidP="00AE1FD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F41CB" w:rsidRPr="00AE1FD8" w:rsidSect="0027015E">
      <w:headerReference w:type="default" r:id="rId7"/>
      <w:pgSz w:w="11906" w:h="16838"/>
      <w:pgMar w:top="737" w:right="1133" w:bottom="737" w:left="1418" w:header="709" w:footer="2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8F386" w14:textId="77777777" w:rsidR="00D86A1F" w:rsidRDefault="00D86A1F" w:rsidP="00AE1FD8">
      <w:pPr>
        <w:spacing w:after="0" w:line="240" w:lineRule="auto"/>
      </w:pPr>
      <w:r>
        <w:separator/>
      </w:r>
    </w:p>
  </w:endnote>
  <w:endnote w:type="continuationSeparator" w:id="0">
    <w:p w14:paraId="6B5E0849" w14:textId="77777777" w:rsidR="00D86A1F" w:rsidRDefault="00D86A1F" w:rsidP="00AE1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8C36E" w14:textId="77777777" w:rsidR="00D86A1F" w:rsidRDefault="00D86A1F" w:rsidP="00AE1FD8">
      <w:pPr>
        <w:spacing w:after="0" w:line="240" w:lineRule="auto"/>
      </w:pPr>
      <w:r>
        <w:separator/>
      </w:r>
    </w:p>
  </w:footnote>
  <w:footnote w:type="continuationSeparator" w:id="0">
    <w:p w14:paraId="01CC197A" w14:textId="77777777" w:rsidR="00D86A1F" w:rsidRDefault="00D86A1F" w:rsidP="00AE1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831AB" w14:textId="4DC5BE2F" w:rsidR="00AE1FD8" w:rsidRDefault="00AE1FD8">
    <w:pPr>
      <w:pStyle w:val="Nagwek"/>
    </w:pPr>
    <w:r>
      <w:tab/>
    </w:r>
    <w:r>
      <w:tab/>
      <w:t>Załącznik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80DFE"/>
    <w:multiLevelType w:val="hybridMultilevel"/>
    <w:tmpl w:val="017EB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FF5220"/>
    <w:multiLevelType w:val="hybridMultilevel"/>
    <w:tmpl w:val="A8FC63E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B059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02F"/>
    <w:rsid w:val="003F41CB"/>
    <w:rsid w:val="0061302F"/>
    <w:rsid w:val="00AE1FD8"/>
    <w:rsid w:val="00D86A1F"/>
    <w:rsid w:val="00F1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88DA33"/>
  <w15:chartTrackingRefBased/>
  <w15:docId w15:val="{B8BD58B4-F133-4CD9-93B9-BACF232B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1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FD8"/>
  </w:style>
  <w:style w:type="paragraph" w:styleId="Stopka">
    <w:name w:val="footer"/>
    <w:basedOn w:val="Normalny"/>
    <w:link w:val="StopkaZnak"/>
    <w:uiPriority w:val="99"/>
    <w:unhideWhenUsed/>
    <w:rsid w:val="00AE1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889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3</cp:revision>
  <dcterms:created xsi:type="dcterms:W3CDTF">2022-05-05T09:05:00Z</dcterms:created>
  <dcterms:modified xsi:type="dcterms:W3CDTF">2022-05-05T09:11:00Z</dcterms:modified>
</cp:coreProperties>
</file>